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D735D" w14:textId="0EB234BB" w:rsidR="0078715A" w:rsidRPr="002A40EF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bookmarkStart w:id="0" w:name="_GoBack"/>
      <w:bookmarkEnd w:id="0"/>
      <w:r w:rsidRPr="002A40EF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Obrazloženje </w:t>
      </w:r>
      <w:r w:rsidR="00BE2CC8" w:rsidRPr="002A40EF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godišnjeg izvještaja o izvršenju Proračuna Općine Bibinje za 20</w:t>
      </w:r>
      <w:r w:rsidR="00771F34" w:rsidRPr="002A40EF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20</w:t>
      </w:r>
      <w:r w:rsidR="00BE2CC8" w:rsidRPr="002A40EF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 godinu</w:t>
      </w:r>
    </w:p>
    <w:p w14:paraId="2B4FA202" w14:textId="77777777" w:rsidR="0078715A" w:rsidRPr="002A40EF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2906FDDF" w14:textId="22AAE0CB" w:rsidR="0078715A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2A40EF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Uvod</w:t>
      </w:r>
    </w:p>
    <w:p w14:paraId="107E8B23" w14:textId="77777777" w:rsidR="002A40EF" w:rsidRPr="002A40EF" w:rsidRDefault="002A40EF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0C461102" w14:textId="7218C3B2" w:rsidR="0078715A" w:rsidRDefault="0078715A" w:rsidP="00766636">
      <w:pPr>
        <w:tabs>
          <w:tab w:val="left" w:pos="3544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2A40EF">
        <w:rPr>
          <w:rFonts w:ascii="Arial Narrow" w:eastAsia="Times New Roman" w:hAnsi="Arial Narrow" w:cs="Times New Roman"/>
          <w:sz w:val="24"/>
          <w:szCs w:val="24"/>
          <w:lang w:eastAsia="hr-HR"/>
        </w:rPr>
        <w:t>Odredbom članka 1</w:t>
      </w:r>
      <w:r w:rsidR="00BE2CC8" w:rsidRPr="002A40EF">
        <w:rPr>
          <w:rFonts w:ascii="Arial Narrow" w:eastAsia="Times New Roman" w:hAnsi="Arial Narrow" w:cs="Times New Roman"/>
          <w:sz w:val="24"/>
          <w:szCs w:val="24"/>
          <w:lang w:eastAsia="hr-HR"/>
        </w:rPr>
        <w:t>10</w:t>
      </w:r>
      <w:r w:rsidRPr="002A40EF">
        <w:rPr>
          <w:rFonts w:ascii="Arial Narrow" w:eastAsia="Times New Roman" w:hAnsi="Arial Narrow" w:cs="Times New Roman"/>
          <w:sz w:val="24"/>
          <w:szCs w:val="24"/>
          <w:lang w:eastAsia="hr-HR"/>
        </w:rPr>
        <w:t>. Zakona o proračunu ( „Narodne novine“ br. 87/08, 136/12, 15/15) te članka 1</w:t>
      </w:r>
      <w:r w:rsidR="00BE2CC8" w:rsidRPr="002A40EF">
        <w:rPr>
          <w:rFonts w:ascii="Arial Narrow" w:eastAsia="Times New Roman" w:hAnsi="Arial Narrow" w:cs="Times New Roman"/>
          <w:sz w:val="24"/>
          <w:szCs w:val="24"/>
          <w:lang w:eastAsia="hr-HR"/>
        </w:rPr>
        <w:t>6</w:t>
      </w:r>
      <w:r w:rsidRPr="002A40E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Pravilnika o polugodišnjem i godišnjem izvještaju o izvršenju </w:t>
      </w:r>
      <w:r w:rsidR="002A40EF" w:rsidRPr="002A40EF">
        <w:rPr>
          <w:rFonts w:ascii="Arial Narrow" w:eastAsia="Times New Roman" w:hAnsi="Arial Narrow" w:cs="Times New Roman"/>
          <w:sz w:val="24"/>
          <w:szCs w:val="24"/>
          <w:lang w:eastAsia="hr-HR"/>
        </w:rPr>
        <w:t>pr</w:t>
      </w:r>
      <w:r w:rsidRPr="002A40E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oračuna </w:t>
      </w:r>
      <w:r w:rsidR="002A40EF" w:rsidRPr="002A40EF">
        <w:rPr>
          <w:rFonts w:ascii="Arial Narrow" w:eastAsia="Times New Roman" w:hAnsi="Arial Narrow" w:cs="Times New Roman"/>
          <w:sz w:val="24"/>
          <w:szCs w:val="24"/>
          <w:lang w:eastAsia="hr-HR"/>
        </w:rPr>
        <w:t>( „Narodne novine“ br.</w:t>
      </w:r>
      <w:r w:rsidR="002A40E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24/13, 102/17, 01/20</w:t>
      </w:r>
      <w:r w:rsidR="002A40EF" w:rsidRPr="002A40E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) </w:t>
      </w: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utvrđena je obveza načelnika da podnese predstavničkom tijelu </w:t>
      </w:r>
      <w:r w:rsidR="008F0109"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(</w:t>
      </w: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predsjedni</w:t>
      </w:r>
      <w:r w:rsidR="008F0109"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ci</w:t>
      </w: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Općinskog vijeća) </w:t>
      </w:r>
      <w:r w:rsidR="00BE2CC8"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godišnj</w:t>
      </w: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i izvještaj o izvršenju  proračuna. Na sam sadržaj godišnjeg izvještaja o izvršenju proračuna primjenjuju se odredbe članka 108. Zakona o proračunu i članka 4. Pravilnika o polugodišnjem i godišnjem izvještaju o izvršenju proračuna.</w:t>
      </w:r>
      <w:r w:rsidR="00766636"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Nadalje,člankom 52. St. 1. Zakona o proračunu utvrđuje se obveza uplate vlastitih prihoda proračunskih prihoda proračunskih korisnika u proračun jedinica lokalne i područne (regionalne) samouprave. Stavak 3. istog članka propisuje i mogućnost da se Odlukom  o izvršavanju proračuna odredi i izuzeće od uplate u proračun. No ostaje obveza mjesečnog izvještavanja o naplati i korištenju vlastitih i namjenskih prihoda i primitaka.</w:t>
      </w:r>
    </w:p>
    <w:p w14:paraId="3B1886A4" w14:textId="77777777" w:rsidR="008F0109" w:rsidRPr="008F0109" w:rsidRDefault="008F0109" w:rsidP="00766636">
      <w:pPr>
        <w:tabs>
          <w:tab w:val="left" w:pos="3544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771F34" w:rsidRPr="00771F34" w14:paraId="68893F21" w14:textId="77777777" w:rsidTr="00F77740">
        <w:trPr>
          <w:trHeight w:val="825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27A8" w14:textId="77777777" w:rsidR="0078715A" w:rsidRPr="00771F34" w:rsidRDefault="0078715A" w:rsidP="00BE2C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F010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hr-HR"/>
              </w:rPr>
              <w:t>Dakle ,bez obzira imaju li jedinice sustave riznica ili ne odnosno propišu li izuzeće obveze uplate vlastitih i namjenskih prihoda i primitaka u proračun ,obvezne su uključiti vlastite i namjenske prihode i primitke svih proračunskih korisnika u proračun jedinice lokalne i područne (regionalne) samouprave</w:t>
            </w:r>
          </w:p>
        </w:tc>
      </w:tr>
    </w:tbl>
    <w:p w14:paraId="1D34CEFA" w14:textId="77777777" w:rsidR="008F0109" w:rsidRDefault="008F0109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7447D2CA" w14:textId="7EF87887" w:rsidR="0078715A" w:rsidRPr="008F0109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Proračun JLPRS sastoji se od općeg</w:t>
      </w:r>
      <w:r w:rsidR="008F0109"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posebnog dijela</w:t>
      </w:r>
      <w:r w:rsidR="008F0109"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, obrazloženja</w:t>
      </w: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te plana razvojnih programa. </w:t>
      </w:r>
    </w:p>
    <w:p w14:paraId="026E8E9D" w14:textId="77777777" w:rsidR="0078715A" w:rsidRPr="008F0109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Posebni dio sastoji se od plana rashoda i izdataka proračuna i proračunskih korisnika iskazanih po vrstama, raspoređenih u programe koji se sastoje od aktivnosti i projekata. </w:t>
      </w:r>
    </w:p>
    <w:p w14:paraId="6661E0FE" w14:textId="039123D8" w:rsidR="0078715A" w:rsidRPr="008F0109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Financijski plan proračunskih korisnika čine prihodi i primici, te rashodi i izdaci raspoređeni u programe koji se sastoje od aktivnosti i projekata i obuhvaćaju sve izvore financiranja</w:t>
      </w:r>
      <w:r w:rsidR="008F0109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</w:p>
    <w:p w14:paraId="540166D0" w14:textId="77777777" w:rsidR="0078715A" w:rsidRPr="008F0109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Iz navedenog proizlazi obveza uključivanja svih prihoda i primitaka, rashoda i izdataka proračunskih korisnika u proračun JLPRS.</w:t>
      </w:r>
      <w:r w:rsidR="00766636"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8F0109">
        <w:rPr>
          <w:rFonts w:ascii="Arial Narrow" w:eastAsia="Times New Roman" w:hAnsi="Arial Narrow" w:cs="Times New Roman"/>
          <w:sz w:val="24"/>
          <w:szCs w:val="24"/>
          <w:lang w:eastAsia="hr-HR"/>
        </w:rPr>
        <w:t>U našem slučaju to bi značilo da je nužno u izvještaj o izvršenju proračuna uključiti našeg proračunskog korisnika Dječji vrtić Leptirić sa svojim cjelokupnim prihodima i rashodima.</w:t>
      </w:r>
    </w:p>
    <w:p w14:paraId="54D211AD" w14:textId="77777777" w:rsidR="00766636" w:rsidRPr="00771F34" w:rsidRDefault="00766636" w:rsidP="00BE2CC8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19FD0B11" w14:textId="163B6EFA" w:rsidR="0078715A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8F0109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Prihodi poslovanja</w:t>
      </w:r>
    </w:p>
    <w:p w14:paraId="011D1D9A" w14:textId="77777777" w:rsidR="008F0109" w:rsidRPr="008F0109" w:rsidRDefault="008F0109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15913D4E" w14:textId="241105FF" w:rsidR="006330EC" w:rsidRPr="0069714D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Ostvareni prihodi poslovanja iznose </w:t>
      </w:r>
      <w:r w:rsidR="008F0109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13.946.369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kn što je </w:t>
      </w:r>
      <w:r w:rsidR="008F0109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2,5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% </w:t>
      </w:r>
      <w:r w:rsidR="008F0109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više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 odnosu na izvorni plan 20</w:t>
      </w:r>
      <w:r w:rsidR="008F0109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20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. godine</w:t>
      </w:r>
      <w:r w:rsidRPr="00771F34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 xml:space="preserve">. 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Ostvareni prihodi od poreza </w:t>
      </w:r>
      <w:r w:rsidR="00BE2CC8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 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20</w:t>
      </w:r>
      <w:r w:rsidR="00E305E7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20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. godin</w:t>
      </w:r>
      <w:r w:rsidR="00E305E7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i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iznose </w:t>
      </w:r>
      <w:r w:rsidR="00E305E7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8.385.805 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kn, što je </w:t>
      </w:r>
      <w:r w:rsidR="00E305E7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103,91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% izvornog plana. </w:t>
      </w:r>
      <w:r w:rsidR="00BE2CC8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P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orez na dohodak iznosi </w:t>
      </w:r>
      <w:r w:rsidR="00E305E7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6.409.502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porezi na imovinu</w:t>
      </w:r>
      <w:r w:rsidR="00BE2CC8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E305E7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1.847.998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kn te porezi na robu i usluge </w:t>
      </w:r>
      <w:r w:rsidR="00E305E7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128.287</w:t>
      </w:r>
      <w:r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kn. </w:t>
      </w:r>
      <w:r w:rsidR="00C138A3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Imamo povećanje</w:t>
      </w:r>
      <w:r w:rsidR="00E4734A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prihoda u odnosu na plan kod </w:t>
      </w:r>
      <w:r w:rsidR="00BE2CC8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poreza na dohodak </w:t>
      </w:r>
      <w:r w:rsidR="00F449D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koji je planiran u manjem iznosu zbog </w:t>
      </w:r>
      <w:r w:rsidR="00E305E7">
        <w:rPr>
          <w:rFonts w:ascii="Arial Narrow" w:eastAsia="Times New Roman" w:hAnsi="Arial Narrow" w:cs="Times New Roman"/>
          <w:sz w:val="24"/>
          <w:szCs w:val="24"/>
          <w:lang w:eastAsia="hr-HR"/>
        </w:rPr>
        <w:t>gospodarske krize te mjera Vlade RH za pomoć gospodarstvu koje obuhvaćaju oslobođenje i odgodu plaćanja poreza na dohodak</w:t>
      </w:r>
      <w:r w:rsidR="00F449D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te povećanje kod </w:t>
      </w:r>
      <w:r w:rsid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</w:t>
      </w:r>
      <w:r w:rsidR="00E4734A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>poreza na imovinu zbog veće naplate poreza na kuću za odmor i poreza na promet nekretnina pred sam kraj godine</w:t>
      </w:r>
      <w:r w:rsidR="00F449D2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  <w:r w:rsidR="00C138A3" w:rsidRPr="00E305E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</w:t>
      </w:r>
      <w:r w:rsidRPr="00333173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Pomoći iz inozemstva i od subjekata unutar općeg proračuna iznose </w:t>
      </w:r>
      <w:r w:rsidR="005E23AA">
        <w:rPr>
          <w:rFonts w:ascii="Arial Narrow" w:eastAsia="Times New Roman" w:hAnsi="Arial Narrow" w:cs="Times New Roman"/>
          <w:sz w:val="24"/>
          <w:szCs w:val="24"/>
          <w:lang w:eastAsia="hr-HR"/>
        </w:rPr>
        <w:t>1.831.313</w:t>
      </w:r>
      <w:r w:rsidRPr="00333173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što je </w:t>
      </w:r>
      <w:r w:rsidR="005E23AA">
        <w:rPr>
          <w:rFonts w:ascii="Arial Narrow" w:eastAsia="Times New Roman" w:hAnsi="Arial Narrow" w:cs="Times New Roman"/>
          <w:sz w:val="24"/>
          <w:szCs w:val="24"/>
          <w:lang w:eastAsia="hr-HR"/>
        </w:rPr>
        <w:t>102,61</w:t>
      </w:r>
      <w:r w:rsidRPr="00333173">
        <w:rPr>
          <w:rFonts w:ascii="Arial Narrow" w:eastAsia="Times New Roman" w:hAnsi="Arial Narrow" w:cs="Times New Roman"/>
          <w:sz w:val="24"/>
          <w:szCs w:val="24"/>
          <w:lang w:eastAsia="hr-HR"/>
        </w:rPr>
        <w:t>% izvornog plana</w:t>
      </w:r>
      <w:r w:rsidR="00537822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  <w:r w:rsidR="00537822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 xml:space="preserve"> 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>Kapitalne pomoći od institucija i tijela EU ostvarene su u iznosu od 112.154 kn za nabavu opreme za pristupne točke bežičnog interneta</w:t>
      </w:r>
      <w:r w:rsidR="009A1237">
        <w:rPr>
          <w:rFonts w:ascii="Arial Narrow" w:eastAsia="Times New Roman" w:hAnsi="Arial Narrow" w:cs="Times New Roman"/>
          <w:sz w:val="24"/>
          <w:szCs w:val="24"/>
          <w:lang w:eastAsia="hr-HR"/>
        </w:rPr>
        <w:t>. T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ekuće pomoći 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iz drugih proračuna ostvarene su u iznosu od 503.029 kuna 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a odnose na državne pomoći u iznosu od 437.279 kuna i pomoći iz županijskog proračuna u iznosu od 65.750 kuna. Pomoći iz državnog proračuna odnose na 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financiranje projekta ispunjenije djetinjstvo u iznosu od 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>67.465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>kuna, sufinanciranje sanacije i asfaltiranje cesta u iznosu od 82.500 kuna te kompenzacijske mjere u iznosu od 287.313 kun</w:t>
      </w:r>
      <w:r w:rsidR="009A1237">
        <w:rPr>
          <w:rFonts w:ascii="Arial Narrow" w:eastAsia="Times New Roman" w:hAnsi="Arial Narrow" w:cs="Times New Roman"/>
          <w:sz w:val="24"/>
          <w:szCs w:val="24"/>
          <w:lang w:eastAsia="hr-HR"/>
        </w:rPr>
        <w:t>e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>Te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>kuće</w:t>
      </w:r>
      <w:r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pomoći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županijskog proračuna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odnose se 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na sufinanciranje sanacije </w:t>
      </w:r>
      <w:proofErr w:type="spellStart"/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>školjere</w:t>
      </w:r>
      <w:proofErr w:type="spellEnd"/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 iznosu od 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>5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>0.000,00 kuna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i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za naknadu pomoći za ogrjev u iznosu od 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>15.750</w:t>
      </w:r>
      <w:r w:rsidR="00270504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</w:t>
      </w:r>
      <w:r w:rsidR="00537822" w:rsidRPr="00537822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  <w:r w:rsidR="00270504" w:rsidRPr="00771F34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 xml:space="preserve"> </w:t>
      </w:r>
      <w:r w:rsidR="009A1237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>T</w:t>
      </w:r>
      <w:r w:rsidR="00270504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>ekuće pomoći izravnanja za decentralizirane funkcije</w:t>
      </w:r>
      <w:r w:rsidR="00C64C93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(vatrogastvo)</w:t>
      </w:r>
      <w:r w:rsid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ostvarene su</w:t>
      </w:r>
      <w:r w:rsidR="00270504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 iznosu od </w:t>
      </w:r>
      <w:r w:rsidR="009A1237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>647.069</w:t>
      </w:r>
      <w:r w:rsidR="00270504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</w:t>
      </w:r>
      <w:r w:rsidR="009A1237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>.</w:t>
      </w:r>
      <w:r w:rsidR="00270504" w:rsidRPr="00771F34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 xml:space="preserve"> </w:t>
      </w:r>
      <w:r w:rsidR="009A1237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>T</w:t>
      </w:r>
      <w:r w:rsidR="00270504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>ekuće pomoći proračunskom korisniku iz državnog proračun</w:t>
      </w:r>
      <w:r w:rsid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ostvarene su</w:t>
      </w:r>
      <w:r w:rsidR="00270504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 iznosu od </w:t>
      </w:r>
      <w:r w:rsidR="009A1237">
        <w:rPr>
          <w:rFonts w:ascii="Arial Narrow" w:eastAsia="Times New Roman" w:hAnsi="Arial Narrow" w:cs="Times New Roman"/>
          <w:sz w:val="24"/>
          <w:szCs w:val="24"/>
          <w:lang w:eastAsia="hr-HR"/>
        </w:rPr>
        <w:t>9.760</w:t>
      </w:r>
      <w:r w:rsidR="00270504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</w:t>
      </w:r>
      <w:r w:rsidR="009A1237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  <w:r w:rsidR="00270504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Tekuće pomoći temeljem prijenosa EU sredstava ostvarene su u iznosu od 559.301 kunu a odnose na </w:t>
      </w:r>
      <w:r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>financiranje projekta druga smjena – ispunjenije djetinjstvo</w:t>
      </w:r>
      <w:r w:rsidR="00C64C93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 iznosu od </w:t>
      </w:r>
      <w:r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9A1237" w:rsidRPr="009A12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522.188 kuna i projekta Zaželi u iznosu od 37.113 kune. 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>Prihode</w:t>
      </w:r>
      <w:r w:rsidR="009A1237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od 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>imovine</w:t>
      </w:r>
      <w:r w:rsidR="009A1237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ostvareni su iznosu od 1.084.850 što je </w:t>
      </w:r>
      <w:r w:rsidR="007C5F76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98,62% izvornog plana </w:t>
      </w:r>
      <w:r w:rsidR="009A1237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a odnose se na prihode od financijske imovine u iznosu od 511 kuna i prihodi od nefinancijske </w:t>
      </w:r>
      <w:r w:rsidR="009A1237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 xml:space="preserve">imovine u iznosu od 1.084.339. Prihode od financijske imovine 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čine prihodi od</w:t>
      </w:r>
      <w:r w:rsidR="009A1237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kamata na oročena sredstva u iznosu od 76 kn i zateznih kamata u iznosu od 435 kn. Prihode od nefinancijske imovine čine prihodi od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koncesija (</w:t>
      </w:r>
      <w:r w:rsidR="009A1237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>462.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>390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kn), prihodima od zakupa i iznajmljivanja imovine (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>107.294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kn), naknada za korištenje  nefinancijske imovine (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>452.403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kn) te ostali prihodi od  nefinancijske imovine (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>62.252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kn). Prihodi od nefinancijske imovine ostvareni su u iznosu od </w:t>
      </w:r>
      <w:r w:rsidR="00C64C93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>80,06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>% izvornog plana</w:t>
      </w:r>
      <w:r w:rsidR="00C64C93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Ostvareni prihodi upravnih i administrativnih pristojbi, pristojbi po posebnim propisima i naknadama iznose 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>2.459.184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ili 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>97,55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%  izvornog plana. </w:t>
      </w:r>
      <w:r w:rsidR="006330EC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Prihodi od boravišne pristojbe 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ostvareni su u iznosu od </w:t>
      </w:r>
      <w:r w:rsidR="006330EC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>121.989</w:t>
      </w:r>
      <w:r w:rsidR="006330EC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prihodi od prodaje 42.324</w:t>
      </w:r>
      <w:r w:rsidR="006330EC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>e</w:t>
      </w:r>
      <w:r w:rsidR="006330EC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prihodi </w:t>
      </w:r>
      <w:r w:rsidR="006330EC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od 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sufinanciranje katastarske izmjere 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ostvareni su u iznosu od 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>248.205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te komunalni doprinos 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>778.680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i komunalna naknada 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>1.267.190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kn.</w:t>
      </w:r>
      <w:r w:rsidR="00766636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>Ostvareni prihodi od prodaje proizvoda i robe te pruženih usluga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ostvareni su u iznosu od 131.297 kn</w:t>
      </w:r>
      <w:r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>, a odnose se na prihode od naplate boravka djece u vrtiću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u iznosu od 103.410 kuna</w:t>
      </w:r>
      <w:r w:rsidR="006330EC" w:rsidRP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7C5F7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te usluge za naplatu naknade za uređenje voda u iznosu od 27.887 kuna. </w:t>
      </w:r>
      <w:r w:rsidRPr="006971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Ostali nespomenuti prihodi iznose </w:t>
      </w:r>
      <w:r w:rsidR="0069714D">
        <w:rPr>
          <w:rFonts w:ascii="Arial Narrow" w:eastAsia="Times New Roman" w:hAnsi="Arial Narrow" w:cs="Times New Roman"/>
          <w:sz w:val="24"/>
          <w:szCs w:val="24"/>
          <w:lang w:eastAsia="hr-HR"/>
        </w:rPr>
        <w:t>53.920</w:t>
      </w:r>
      <w:r w:rsidRPr="006971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</w:t>
      </w:r>
      <w:r w:rsidR="006971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="00D3534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bilježimo razvidno povećanje ovih prihoda u odnosu na plan 2020. zbog otpisa zastarjelih obveza koje su se priznale kao prihod. </w:t>
      </w:r>
    </w:p>
    <w:p w14:paraId="7FE98C82" w14:textId="77777777" w:rsidR="00766636" w:rsidRPr="00771F34" w:rsidRDefault="00766636" w:rsidP="00BE2CC8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257FA39D" w14:textId="24CEF998" w:rsidR="0069714D" w:rsidRDefault="006330EC" w:rsidP="006330E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69714D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Prihodi od prodaje nefinancijske imovine</w:t>
      </w:r>
    </w:p>
    <w:p w14:paraId="334A110A" w14:textId="77777777" w:rsidR="0069714D" w:rsidRPr="0069714D" w:rsidRDefault="0069714D" w:rsidP="006330E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174004C7" w14:textId="46D2661C" w:rsidR="006330EC" w:rsidRPr="0069714D" w:rsidRDefault="006330EC" w:rsidP="006330E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6971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Prihodi od prodaje nefinancijske imovine  iznose </w:t>
      </w:r>
      <w:r w:rsidR="0069714D">
        <w:rPr>
          <w:rFonts w:ascii="Arial Narrow" w:eastAsia="Times New Roman" w:hAnsi="Arial Narrow" w:cs="Times New Roman"/>
          <w:sz w:val="24"/>
          <w:szCs w:val="24"/>
          <w:lang w:eastAsia="hr-HR"/>
        </w:rPr>
        <w:t>949.565</w:t>
      </w:r>
      <w:r w:rsidRPr="006971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što je </w:t>
      </w:r>
      <w:r w:rsidR="0069714D">
        <w:rPr>
          <w:rFonts w:ascii="Arial Narrow" w:eastAsia="Times New Roman" w:hAnsi="Arial Narrow" w:cs="Times New Roman"/>
          <w:sz w:val="24"/>
          <w:szCs w:val="24"/>
          <w:lang w:eastAsia="hr-HR"/>
        </w:rPr>
        <w:t>99,95</w:t>
      </w:r>
      <w:r w:rsidRPr="0069714D">
        <w:rPr>
          <w:rFonts w:ascii="Arial Narrow" w:eastAsia="Times New Roman" w:hAnsi="Arial Narrow" w:cs="Times New Roman"/>
          <w:sz w:val="24"/>
          <w:szCs w:val="24"/>
          <w:lang w:eastAsia="hr-HR"/>
        </w:rPr>
        <w:t>% u odnosu na izvorni plan 20</w:t>
      </w:r>
      <w:r w:rsidR="0069714D">
        <w:rPr>
          <w:rFonts w:ascii="Arial Narrow" w:eastAsia="Times New Roman" w:hAnsi="Arial Narrow" w:cs="Times New Roman"/>
          <w:sz w:val="24"/>
          <w:szCs w:val="24"/>
          <w:lang w:eastAsia="hr-HR"/>
        </w:rPr>
        <w:t>20</w:t>
      </w:r>
      <w:r w:rsidRPr="0069714D">
        <w:rPr>
          <w:rFonts w:ascii="Arial Narrow" w:eastAsia="Times New Roman" w:hAnsi="Arial Narrow" w:cs="Times New Roman"/>
          <w:sz w:val="24"/>
          <w:szCs w:val="24"/>
          <w:lang w:eastAsia="hr-HR"/>
        </w:rPr>
        <w:t>. godine</w:t>
      </w:r>
      <w:r w:rsidR="006971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a odnose se na prihode prodaje zemljišta u poslovnoj zoni </w:t>
      </w:r>
      <w:proofErr w:type="spellStart"/>
      <w:r w:rsidR="0069714D">
        <w:rPr>
          <w:rFonts w:ascii="Arial Narrow" w:eastAsia="Times New Roman" w:hAnsi="Arial Narrow" w:cs="Times New Roman"/>
          <w:sz w:val="24"/>
          <w:szCs w:val="24"/>
          <w:lang w:eastAsia="hr-HR"/>
        </w:rPr>
        <w:t>Lonići</w:t>
      </w:r>
      <w:proofErr w:type="spellEnd"/>
      <w:r w:rsidR="0069714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</w:t>
      </w:r>
    </w:p>
    <w:p w14:paraId="6B2C4AA9" w14:textId="77777777" w:rsidR="00766636" w:rsidRPr="00771F34" w:rsidRDefault="00766636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</w:pPr>
    </w:p>
    <w:p w14:paraId="1D392A6F" w14:textId="574E9CF4" w:rsidR="0078715A" w:rsidRPr="00600D01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600D01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Rashodi poslovanja</w:t>
      </w:r>
    </w:p>
    <w:p w14:paraId="7DE822EA" w14:textId="77777777" w:rsidR="00FC76BF" w:rsidRPr="00771F34" w:rsidRDefault="00FC76BF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</w:pPr>
    </w:p>
    <w:p w14:paraId="342B42FD" w14:textId="3ACB5D4A" w:rsidR="0078715A" w:rsidRPr="002D1E8E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Ostvareni rashodi poslovanja iznose </w:t>
      </w:r>
      <w:r w:rsidR="00600D01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>11.907.624</w:t>
      </w:r>
      <w:r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što je  </w:t>
      </w:r>
      <w:r w:rsidR="00600D01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97,68 </w:t>
      </w:r>
      <w:r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>% izvornog plana 20</w:t>
      </w:r>
      <w:r w:rsidR="00600D01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>20</w:t>
      </w:r>
      <w:r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>. godine.</w:t>
      </w:r>
      <w:r w:rsidR="00766636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Rashodi za zaposlene odnose se na plaće zaposlenika Općine Bibinje i dječjeg vrtića Leptirić a iznose  </w:t>
      </w:r>
      <w:r w:rsidR="00766636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>2.</w:t>
      </w:r>
      <w:r w:rsidR="00600D01">
        <w:rPr>
          <w:rFonts w:ascii="Arial Narrow" w:eastAsia="Times New Roman" w:hAnsi="Arial Narrow" w:cs="Times New Roman"/>
          <w:sz w:val="24"/>
          <w:szCs w:val="24"/>
          <w:lang w:eastAsia="hr-HR"/>
        </w:rPr>
        <w:t>369.122</w:t>
      </w:r>
      <w:r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kn što je </w:t>
      </w:r>
      <w:r w:rsidR="00600D01">
        <w:rPr>
          <w:rFonts w:ascii="Arial Narrow" w:eastAsia="Times New Roman" w:hAnsi="Arial Narrow" w:cs="Times New Roman"/>
          <w:sz w:val="24"/>
          <w:szCs w:val="24"/>
          <w:lang w:eastAsia="hr-HR"/>
        </w:rPr>
        <w:t>97,68</w:t>
      </w:r>
      <w:r w:rsidR="00766636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>% izvornog plana.</w:t>
      </w:r>
      <w:r w:rsidR="00600D01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 xml:space="preserve"> </w:t>
      </w:r>
      <w:r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Naknade troškova zaposlenima iznose </w:t>
      </w:r>
      <w:r w:rsidR="00600D01">
        <w:rPr>
          <w:rFonts w:ascii="Arial Narrow" w:eastAsia="Times New Roman" w:hAnsi="Arial Narrow" w:cs="Times New Roman"/>
          <w:sz w:val="24"/>
          <w:szCs w:val="24"/>
          <w:lang w:eastAsia="hr-HR"/>
        </w:rPr>
        <w:t>38.119</w:t>
      </w:r>
      <w:r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što je </w:t>
      </w:r>
      <w:r w:rsidR="00600D01">
        <w:rPr>
          <w:rFonts w:ascii="Arial Narrow" w:eastAsia="Times New Roman" w:hAnsi="Arial Narrow" w:cs="Times New Roman"/>
          <w:sz w:val="24"/>
          <w:szCs w:val="24"/>
          <w:lang w:eastAsia="hr-HR"/>
        </w:rPr>
        <w:t>75,56</w:t>
      </w:r>
      <w:r w:rsidR="007D15CE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>% izvornog plana.</w:t>
      </w:r>
      <w:r w:rsid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Kod projekta Podrškom za njih nisu ostvareni planirane naknade troškova zaposlenima.</w:t>
      </w:r>
      <w:r w:rsidRPr="00771F34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 xml:space="preserve"> </w:t>
      </w:r>
      <w:r w:rsidR="000301B1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Rashodi naknade troškova zaposlenima odnose se na troškove službenih putovanja </w:t>
      </w:r>
      <w:r w:rsidR="00600D01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>2.780</w:t>
      </w:r>
      <w:r w:rsidR="000301B1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nakna</w:t>
      </w:r>
      <w:r w:rsidR="00A63DC2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>da</w:t>
      </w:r>
      <w:r w:rsidR="000301B1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za prijevoz </w:t>
      </w:r>
      <w:r w:rsidR="00600D01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>7.948</w:t>
      </w:r>
      <w:r w:rsidR="000301B1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i stručno usavršavanje zaposlenika </w:t>
      </w:r>
      <w:r w:rsidR="00600D01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>27.391</w:t>
      </w:r>
      <w:r w:rsidR="000301B1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kn. Odstupanje </w:t>
      </w:r>
      <w:r w:rsidR="007D15CE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od plana se odnosi na </w:t>
      </w:r>
      <w:r w:rsid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nerealizirane rashode projekta Podrškom za njih. </w:t>
      </w:r>
      <w:r w:rsidR="007D15CE" w:rsidRPr="00600D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</w:t>
      </w:r>
      <w:r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Rashodi za materijal i energiju iznose </w:t>
      </w:r>
      <w:r w:rsidR="00600D01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>732.914</w:t>
      </w:r>
      <w:r w:rsidR="007D15CE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što je </w:t>
      </w:r>
      <w:r w:rsidR="00600D01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99,13% </w:t>
      </w:r>
      <w:r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izvornog plana. </w:t>
      </w:r>
      <w:r w:rsidR="000301B1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Rashodi za materijal i energiju odnose se na uredski materijal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75.297</w:t>
      </w:r>
      <w:r w:rsidR="000301B1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materijal i sirovine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130.030</w:t>
      </w:r>
      <w:r w:rsidR="000301B1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energiju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394.039</w:t>
      </w:r>
      <w:r w:rsidR="000301B1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materijal za investicijsko održavanje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3.762 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kn i sitan inventar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129.786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kn.</w:t>
      </w:r>
      <w:r w:rsidR="000301B1" w:rsidRPr="00771F34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 xml:space="preserve"> </w:t>
      </w:r>
      <w:r w:rsidRPr="00771F34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 xml:space="preserve"> </w:t>
      </w:r>
      <w:r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Rashodi za usluge iznose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4.019.088</w:t>
      </w:r>
      <w:r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što je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97,36</w:t>
      </w:r>
      <w:r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% izvornog plana. 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Odnose se na usluge telefona pošte i prijevoza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79.814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usluge tekućeg investicijskog održavanja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2.456.486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usluge promidžbe i informiranja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76.982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komunalne usluge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315.024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zakupnine i najamnine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116.413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zdravstvene i veterinarske usluge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16.449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intelektualne i osobne usluge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818.484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računalne usluge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37.288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i ostale usluge 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93.148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kn.</w:t>
      </w:r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Odstupanje od plana odnosi se na nerealizirane  usluge JUO-a, usluga za održavanje nerazvrstanih cesta te smanjenje usluga za rad </w:t>
      </w:r>
      <w:proofErr w:type="spellStart"/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>reciklažnog</w:t>
      </w:r>
      <w:proofErr w:type="spellEnd"/>
      <w:r w:rsid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dvorišta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</w:t>
      </w:r>
      <w:r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Ostali nespomenuti rashodi poslovanja iznose </w:t>
      </w:r>
      <w:r w:rsidR="00855424">
        <w:rPr>
          <w:rFonts w:ascii="Arial Narrow" w:eastAsia="Times New Roman" w:hAnsi="Arial Narrow" w:cs="Times New Roman"/>
          <w:sz w:val="24"/>
          <w:szCs w:val="24"/>
          <w:lang w:eastAsia="hr-HR"/>
        </w:rPr>
        <w:t>267.475</w:t>
      </w:r>
      <w:r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što je </w:t>
      </w:r>
      <w:r w:rsidR="00855424">
        <w:rPr>
          <w:rFonts w:ascii="Arial Narrow" w:eastAsia="Times New Roman" w:hAnsi="Arial Narrow" w:cs="Times New Roman"/>
          <w:sz w:val="24"/>
          <w:szCs w:val="24"/>
          <w:lang w:eastAsia="hr-HR"/>
        </w:rPr>
        <w:t>83,24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>% izvornog plana.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Ostali nespomenuti </w:t>
      </w:r>
      <w:r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rashodi poslovanja odnose se na naknade za rad predstavničkog tijela </w:t>
      </w:r>
      <w:r w:rsidR="00855424">
        <w:rPr>
          <w:rFonts w:ascii="Arial Narrow" w:eastAsia="Times New Roman" w:hAnsi="Arial Narrow" w:cs="Times New Roman"/>
          <w:sz w:val="24"/>
          <w:szCs w:val="24"/>
          <w:lang w:eastAsia="hr-HR"/>
        </w:rPr>
        <w:t>60.036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premije osiguranja </w:t>
      </w:r>
      <w:r w:rsidR="00855424">
        <w:rPr>
          <w:rFonts w:ascii="Arial Narrow" w:eastAsia="Times New Roman" w:hAnsi="Arial Narrow" w:cs="Times New Roman"/>
          <w:sz w:val="24"/>
          <w:szCs w:val="24"/>
          <w:lang w:eastAsia="hr-HR"/>
        </w:rPr>
        <w:t>20.065</w:t>
      </w:r>
      <w:r w:rsidR="00A63DC2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reprezentacij</w:t>
      </w:r>
      <w:r w:rsidR="0036108F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 </w:t>
      </w:r>
      <w:r w:rsidR="00855424">
        <w:rPr>
          <w:rFonts w:ascii="Arial Narrow" w:eastAsia="Times New Roman" w:hAnsi="Arial Narrow" w:cs="Times New Roman"/>
          <w:sz w:val="24"/>
          <w:szCs w:val="24"/>
          <w:lang w:eastAsia="hr-HR"/>
        </w:rPr>
        <w:t>30.576</w:t>
      </w:r>
      <w:r w:rsidR="0036108F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članarine </w:t>
      </w:r>
      <w:r w:rsidR="00855424">
        <w:rPr>
          <w:rFonts w:ascii="Arial Narrow" w:eastAsia="Times New Roman" w:hAnsi="Arial Narrow" w:cs="Times New Roman"/>
          <w:sz w:val="24"/>
          <w:szCs w:val="24"/>
          <w:lang w:eastAsia="hr-HR"/>
        </w:rPr>
        <w:t>15.000</w:t>
      </w:r>
      <w:r w:rsidR="0036108F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pristojbe i naknade </w:t>
      </w:r>
      <w:r w:rsidR="00855424">
        <w:rPr>
          <w:rFonts w:ascii="Arial Narrow" w:eastAsia="Times New Roman" w:hAnsi="Arial Narrow" w:cs="Times New Roman"/>
          <w:sz w:val="24"/>
          <w:szCs w:val="24"/>
          <w:lang w:eastAsia="hr-HR"/>
        </w:rPr>
        <w:t>133.749</w:t>
      </w:r>
      <w:r w:rsidR="0036108F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i ostali nespomenuti rashodi poslovanja </w:t>
      </w:r>
      <w:r w:rsidR="00855424">
        <w:rPr>
          <w:rFonts w:ascii="Arial Narrow" w:eastAsia="Times New Roman" w:hAnsi="Arial Narrow" w:cs="Times New Roman"/>
          <w:sz w:val="24"/>
          <w:szCs w:val="24"/>
          <w:lang w:eastAsia="hr-HR"/>
        </w:rPr>
        <w:t>8.049</w:t>
      </w:r>
      <w:r w:rsidR="0036108F" w:rsidRPr="00EC4E6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kn. 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Odstupanje se odnosi jer nije korištena proračunska pričuva u iznosu od 50.000 kuna. </w:t>
      </w:r>
      <w:r w:rsidR="00EA647A" w:rsidRPr="0085542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Financijski rashodi </w:t>
      </w:r>
      <w:r w:rsidRPr="0085542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ostvareni </w:t>
      </w:r>
      <w:r w:rsidR="00EA647A" w:rsidRPr="0085542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su </w:t>
      </w:r>
      <w:r w:rsidRPr="0085542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 iznosu od 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90.177</w:t>
      </w:r>
      <w:r w:rsidRPr="0085542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kn ili 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99,06</w:t>
      </w:r>
      <w:r w:rsidRPr="00855424">
        <w:rPr>
          <w:rFonts w:ascii="Arial Narrow" w:eastAsia="Times New Roman" w:hAnsi="Arial Narrow" w:cs="Times New Roman"/>
          <w:sz w:val="24"/>
          <w:szCs w:val="24"/>
          <w:lang w:eastAsia="hr-HR"/>
        </w:rPr>
        <w:t>% izvornog</w:t>
      </w:r>
      <w:r w:rsidR="00A63DC2" w:rsidRPr="0085542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855424">
        <w:rPr>
          <w:rFonts w:ascii="Arial Narrow" w:eastAsia="Times New Roman" w:hAnsi="Arial Narrow" w:cs="Times New Roman"/>
          <w:sz w:val="24"/>
          <w:szCs w:val="24"/>
          <w:lang w:eastAsia="hr-HR"/>
        </w:rPr>
        <w:t>plana,  a odnose se najviše na otplatu kamate kredita (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66.433</w:t>
      </w:r>
      <w:r w:rsidRPr="0085542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kn), a ostatak otpada na usluge platnog promet i zatezne kamate (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23.744</w:t>
      </w:r>
      <w:r w:rsidRPr="00855424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kn).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Subvencije trgovačkim društvima u javnom sektoru iznose 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44.154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a odnose se na subvencije trgovačkom društvu Odvodnja Bibinje-Sukošan.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EA647A"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Pomoći unutar opće države iznose 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1.080.719</w:t>
      </w:r>
      <w:r w:rsidR="00EA647A"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a odnose se na sufinanciranje rada Javne vatrogasne postrojbe Zadar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. Odstupanje se odnosi na razliku decentraliziranih sredstava.</w:t>
      </w:r>
      <w:r w:rsidR="00EA647A"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Tekuće pomoći proračunskim korisnicima drugih proračuna iznose 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171.902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a odnose se na financiranje dodatne nastave OŠ Stjepana Radića Bibinje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i pomoći zdravstvenim ustanovama. 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Naknade građanima i kućanstvima iznose </w:t>
      </w:r>
      <w:r w:rsidR="00EA647A"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>1.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321.973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ili 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97,53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>% izvornog  plana, a odnose na socijalne pomoći u vidu jednokratne financijske pomoći (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102.313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kn), pomoći obitelji poginulih hrvatskih branitelja (</w:t>
      </w:r>
      <w:r w:rsidR="00EA647A"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>5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>.000 kn), stipendija i školarina (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351.000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kn), potpori obitelji za novorođenčad (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255.000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kn), potpori za djelovanje vrtića 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257.400</w:t>
      </w:r>
      <w:r w:rsidR="00EA647A"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>kn, potpori za sufinanciranje cijene prijevoza autobusa (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54</w:t>
      </w:r>
      <w:r w:rsidR="00EA647A"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>.000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kn),</w:t>
      </w:r>
      <w:r w:rsidR="00EA647A"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sufinanciranje udžbenika 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229.197</w:t>
      </w:r>
      <w:r w:rsidR="00EA647A"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</w:t>
      </w:r>
      <w:r w:rsidR="007A7AB5"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naknade za ogrjev </w:t>
      </w:r>
      <w:r w:rsidR="00087A09">
        <w:rPr>
          <w:rFonts w:ascii="Arial Narrow" w:eastAsia="Times New Roman" w:hAnsi="Arial Narrow" w:cs="Times New Roman"/>
          <w:sz w:val="24"/>
          <w:szCs w:val="24"/>
          <w:lang w:eastAsia="hr-HR"/>
        </w:rPr>
        <w:t>15.750</w:t>
      </w:r>
      <w:r w:rsidR="007A7AB5"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te 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 xml:space="preserve">naknadi za korištenje školske dvorane, sufinanciranju dječjeg vrtića za djecu sa posebnim potporama i ostalim naknadama iz proračuna u iznosu od </w:t>
      </w:r>
      <w:r w:rsidR="002D1E8E">
        <w:rPr>
          <w:rFonts w:ascii="Arial Narrow" w:eastAsia="Times New Roman" w:hAnsi="Arial Narrow" w:cs="Times New Roman"/>
          <w:sz w:val="24"/>
          <w:szCs w:val="24"/>
          <w:lang w:eastAsia="hr-HR"/>
        </w:rPr>
        <w:t>52.313</w:t>
      </w:r>
      <w:r w:rsidRPr="00087A09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kn.</w:t>
      </w:r>
      <w:r w:rsidR="002D1E8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2D1E8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Ostali rashodi iznose </w:t>
      </w:r>
      <w:r w:rsidR="002D1E8E">
        <w:rPr>
          <w:rFonts w:ascii="Arial Narrow" w:eastAsia="Times New Roman" w:hAnsi="Arial Narrow" w:cs="Times New Roman"/>
          <w:sz w:val="24"/>
          <w:szCs w:val="24"/>
          <w:lang w:eastAsia="hr-HR"/>
        </w:rPr>
        <w:t>1.771.981</w:t>
      </w:r>
      <w:r w:rsidRPr="002D1E8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ili </w:t>
      </w:r>
      <w:r w:rsidR="002D1E8E">
        <w:rPr>
          <w:rFonts w:ascii="Arial Narrow" w:eastAsia="Times New Roman" w:hAnsi="Arial Narrow" w:cs="Times New Roman"/>
          <w:sz w:val="24"/>
          <w:szCs w:val="24"/>
          <w:lang w:eastAsia="hr-HR"/>
        </w:rPr>
        <w:t>98,50</w:t>
      </w:r>
      <w:r w:rsidRPr="002D1E8E">
        <w:rPr>
          <w:rFonts w:ascii="Arial Narrow" w:eastAsia="Times New Roman" w:hAnsi="Arial Narrow" w:cs="Times New Roman"/>
          <w:sz w:val="24"/>
          <w:szCs w:val="24"/>
          <w:lang w:eastAsia="hr-HR"/>
        </w:rPr>
        <w:t>%</w:t>
      </w:r>
      <w:r w:rsidR="007A7AB5" w:rsidRPr="002D1E8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2D1E8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izvornog  plana, a odnose se na tekuće donacije u iznosu </w:t>
      </w:r>
      <w:r w:rsidR="002D1E8E">
        <w:rPr>
          <w:rFonts w:ascii="Arial Narrow" w:eastAsia="Times New Roman" w:hAnsi="Arial Narrow" w:cs="Times New Roman"/>
          <w:sz w:val="24"/>
          <w:szCs w:val="24"/>
          <w:lang w:eastAsia="hr-HR"/>
        </w:rPr>
        <w:t>675.676</w:t>
      </w:r>
      <w:r w:rsidRPr="002D1E8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za redovito financiranje sportskih klubova</w:t>
      </w:r>
      <w:r w:rsidR="007A7AB5" w:rsidRPr="002D1E8E">
        <w:rPr>
          <w:rFonts w:ascii="Arial Narrow" w:eastAsia="Times New Roman" w:hAnsi="Arial Narrow" w:cs="Times New Roman"/>
          <w:sz w:val="24"/>
          <w:szCs w:val="24"/>
          <w:lang w:eastAsia="hr-HR"/>
        </w:rPr>
        <w:t>,</w:t>
      </w:r>
      <w:r w:rsidRPr="002D1E8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kulturnih</w:t>
      </w:r>
      <w:r w:rsidR="007A7AB5" w:rsidRPr="002D1E8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i socijalnih udruga</w:t>
      </w:r>
      <w:r w:rsidR="002D1E8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te na</w:t>
      </w:r>
      <w:r w:rsidR="007A7AB5" w:rsidRPr="002D1E8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2D1E8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kapitalne pomoći trgovačkom društvu Odvodnja Bibinje-Sukošan u iznosu od </w:t>
      </w:r>
      <w:r w:rsidR="002D1E8E">
        <w:rPr>
          <w:rFonts w:ascii="Arial Narrow" w:eastAsia="Times New Roman" w:hAnsi="Arial Narrow" w:cs="Times New Roman"/>
          <w:sz w:val="24"/>
          <w:szCs w:val="24"/>
          <w:lang w:eastAsia="hr-HR"/>
        </w:rPr>
        <w:t>646.305 kn i trgovačkom društvu Bibinjac d.o.o u iznosu od 450.000,00 kn.</w:t>
      </w:r>
    </w:p>
    <w:p w14:paraId="7AB5BBB9" w14:textId="77777777" w:rsidR="0078715A" w:rsidRPr="00771F34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28EFA3EA" w14:textId="4D9068E3" w:rsidR="0078715A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9020E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Rashodi za nabavu nefinancijske imovine</w:t>
      </w:r>
    </w:p>
    <w:p w14:paraId="3814AC4D" w14:textId="77777777" w:rsidR="00FC76BF" w:rsidRPr="009020EB" w:rsidRDefault="00FC76BF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07F8E17D" w14:textId="23F4A55D" w:rsidR="0078715A" w:rsidRPr="009020EB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Rashodi za nabavu nefinancijske imovine ostvareni su u iznosu od </w:t>
      </w:r>
      <w:r w:rsidR="009020EB">
        <w:rPr>
          <w:rFonts w:ascii="Arial Narrow" w:eastAsia="Times New Roman" w:hAnsi="Arial Narrow" w:cs="Times New Roman"/>
          <w:sz w:val="24"/>
          <w:szCs w:val="24"/>
          <w:lang w:eastAsia="hr-HR"/>
        </w:rPr>
        <w:t>2.058.071</w:t>
      </w:r>
      <w:r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odnosno </w:t>
      </w:r>
      <w:r w:rsidR="009020EB">
        <w:rPr>
          <w:rFonts w:ascii="Arial Narrow" w:eastAsia="Times New Roman" w:hAnsi="Arial Narrow" w:cs="Times New Roman"/>
          <w:sz w:val="24"/>
          <w:szCs w:val="24"/>
          <w:lang w:eastAsia="hr-HR"/>
        </w:rPr>
        <w:t>97,30</w:t>
      </w:r>
      <w:r w:rsidR="007A7AB5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>% izvornog plana.</w:t>
      </w:r>
      <w:r w:rsidR="007A7AB5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Zemljište je ostvareno u iznosu od </w:t>
      </w:r>
      <w:r w:rsidR="009020EB">
        <w:rPr>
          <w:rFonts w:ascii="Arial Narrow" w:eastAsia="Times New Roman" w:hAnsi="Arial Narrow" w:cs="Times New Roman"/>
          <w:sz w:val="24"/>
          <w:szCs w:val="24"/>
          <w:lang w:eastAsia="hr-HR"/>
        </w:rPr>
        <w:t>29.131</w:t>
      </w:r>
      <w:r w:rsidR="007A7AB5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što je </w:t>
      </w:r>
      <w:r w:rsidR="009020EB">
        <w:rPr>
          <w:rFonts w:ascii="Arial Narrow" w:eastAsia="Times New Roman" w:hAnsi="Arial Narrow" w:cs="Times New Roman"/>
          <w:sz w:val="24"/>
          <w:szCs w:val="24"/>
          <w:lang w:eastAsia="hr-HR"/>
        </w:rPr>
        <w:t>100</w:t>
      </w:r>
      <w:r w:rsidR="007A7AB5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% izvornog plana a odnosi na kupnju zemljišta za proširenje cesta. </w:t>
      </w:r>
      <w:r w:rsid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Licence su ostvarene u iznosu od 4.462 kn odnosno 89,24% izvornog plana. </w:t>
      </w:r>
      <w:r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Građevinski objekti </w:t>
      </w:r>
      <w:r w:rsidR="00BC0377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 </w:t>
      </w:r>
      <w:r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>20</w:t>
      </w:r>
      <w:r w:rsidR="009020EB">
        <w:rPr>
          <w:rFonts w:ascii="Arial Narrow" w:eastAsia="Times New Roman" w:hAnsi="Arial Narrow" w:cs="Times New Roman"/>
          <w:sz w:val="24"/>
          <w:szCs w:val="24"/>
          <w:lang w:eastAsia="hr-HR"/>
        </w:rPr>
        <w:t>20</w:t>
      </w:r>
      <w:r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godini su ostvareni u iznosu od </w:t>
      </w:r>
      <w:r w:rsidR="009020EB">
        <w:rPr>
          <w:rFonts w:ascii="Arial Narrow" w:eastAsia="Times New Roman" w:hAnsi="Arial Narrow" w:cs="Times New Roman"/>
          <w:sz w:val="24"/>
          <w:szCs w:val="24"/>
          <w:lang w:eastAsia="hr-HR"/>
        </w:rPr>
        <w:t>1.245.670</w:t>
      </w:r>
      <w:r w:rsidR="00BC0377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što je </w:t>
      </w:r>
      <w:r w:rsidR="009020EB">
        <w:rPr>
          <w:rFonts w:ascii="Arial Narrow" w:eastAsia="Times New Roman" w:hAnsi="Arial Narrow" w:cs="Times New Roman"/>
          <w:sz w:val="24"/>
          <w:szCs w:val="24"/>
          <w:lang w:eastAsia="hr-HR"/>
        </w:rPr>
        <w:t>99,58</w:t>
      </w:r>
      <w:r w:rsidR="00BC0377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>% izvornog plana.</w:t>
      </w:r>
      <w:r w:rsidR="009B66F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Građevinski objekti se odnose na </w:t>
      </w:r>
      <w:r w:rsidR="009B66F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izgradnju poslovnih objekata u iznosu od 118.609 kn, izgradnju cesta u iznosu od 627.226 kn te na izgradnju ostalih građevinskih objekata u iznosu od 499.835 kuna. </w:t>
      </w:r>
      <w:r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Postrojenja i oprema u </w:t>
      </w:r>
      <w:r w:rsidR="009B66FD">
        <w:rPr>
          <w:rFonts w:ascii="Arial Narrow" w:eastAsia="Times New Roman" w:hAnsi="Arial Narrow" w:cs="Times New Roman"/>
          <w:sz w:val="24"/>
          <w:szCs w:val="24"/>
          <w:lang w:eastAsia="hr-HR"/>
        </w:rPr>
        <w:t>2020</w:t>
      </w:r>
      <w:r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godini ostvareni su u iznos od </w:t>
      </w:r>
      <w:r w:rsidR="009B66FD">
        <w:rPr>
          <w:rFonts w:ascii="Arial Narrow" w:eastAsia="Times New Roman" w:hAnsi="Arial Narrow" w:cs="Times New Roman"/>
          <w:sz w:val="24"/>
          <w:szCs w:val="24"/>
          <w:lang w:eastAsia="hr-HR"/>
        </w:rPr>
        <w:t>155.913</w:t>
      </w:r>
      <w:r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</w:t>
      </w:r>
      <w:r w:rsidR="00BC0377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što je </w:t>
      </w:r>
      <w:r w:rsidR="009B66FD">
        <w:rPr>
          <w:rFonts w:ascii="Arial Narrow" w:eastAsia="Times New Roman" w:hAnsi="Arial Narrow" w:cs="Times New Roman"/>
          <w:sz w:val="24"/>
          <w:szCs w:val="24"/>
          <w:lang w:eastAsia="hr-HR"/>
        </w:rPr>
        <w:t>79,06</w:t>
      </w:r>
      <w:r w:rsidR="00BC0377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>% izvornog plana</w:t>
      </w:r>
      <w:r w:rsidR="009B66F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a odnosi se na nabavu uredske opreme i namještaja u iznosu od 14.050 kn, komunikacijske opreme u iznosu od 115.418 kn, opreme za održavanje i zaštitu u iznosu od 11.345 kn, uređaja oprema i strojeva za ostale namjene u iznosu od 15.100 kn. </w:t>
      </w:r>
      <w:r w:rsidR="00BC0377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Odstupanje od plana se odnosi </w:t>
      </w:r>
      <w:r w:rsidR="009B66F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na nabavu opreme za dječji vrtić Leptirići koja će se nabaviti u 2021. godini. Nematerijalna proizvedena imovina ostvarena je u iznosu od 330.451 kn odnosno 100% izvornog plana a odnosi se na ulaganje u računalne programe u iznosu od 46.872 kn i ulaganje u prostorne planove i tiskanje Monografije u iznosu od 283.579 kn. </w:t>
      </w:r>
      <w:r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Dodatna ulaganja na građevinskim objektima ostvarena su u iznosu od </w:t>
      </w:r>
      <w:r w:rsidR="009B66FD">
        <w:rPr>
          <w:rFonts w:ascii="Arial Narrow" w:eastAsia="Times New Roman" w:hAnsi="Arial Narrow" w:cs="Times New Roman"/>
          <w:sz w:val="24"/>
          <w:szCs w:val="24"/>
          <w:lang w:eastAsia="hr-HR"/>
        </w:rPr>
        <w:t>292.444</w:t>
      </w:r>
      <w:r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 </w:t>
      </w:r>
      <w:r w:rsidR="00BC0377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što je </w:t>
      </w:r>
      <w:r w:rsidR="009B66FD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96,67 </w:t>
      </w:r>
      <w:r w:rsidR="00BC0377" w:rsidRP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% izvornog plana. </w:t>
      </w:r>
    </w:p>
    <w:p w14:paraId="2DCD860B" w14:textId="77777777" w:rsidR="00F77740" w:rsidRPr="00771F34" w:rsidRDefault="00F77740" w:rsidP="00BE2CC8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409C139C" w14:textId="0C22C5AA" w:rsidR="00F77740" w:rsidRDefault="00F7774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307DA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Primici za financijsku imovinu</w:t>
      </w:r>
    </w:p>
    <w:p w14:paraId="2D05CD5F" w14:textId="77777777" w:rsidR="00FC76BF" w:rsidRPr="00307DAB" w:rsidRDefault="00FC76BF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3EA929AE" w14:textId="6C959B4E" w:rsidR="00F77740" w:rsidRDefault="00307DAB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Primici od zaduživanja ostvareni su u iznosu od 932.932 kn odnosno 97,18% plana. Primici se odnose primljene beskamatne zajmove iz Državnog proračuna. Beskamatni zajam </w:t>
      </w:r>
      <w:r w:rsid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odobren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zbog pada prihoda iznosi </w:t>
      </w:r>
      <w:r w:rsidR="009020E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800.000 kuna te rok za otplatu je tri godine, beskamatni zajam u iznosu od 132.132 kn odobren je zbog odgode poreza na dohodak a povrat se vrši kako se uplaćuje odgođeni porez na dohodak. </w:t>
      </w:r>
    </w:p>
    <w:p w14:paraId="427400AA" w14:textId="77777777" w:rsidR="009B66FD" w:rsidRPr="00307DAB" w:rsidRDefault="009B66FD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7AB0C229" w14:textId="52A47B58" w:rsidR="0078715A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307DA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Izdaci za financijsku imovinu i otplate zajmova</w:t>
      </w:r>
    </w:p>
    <w:p w14:paraId="0B1CC3E7" w14:textId="77777777" w:rsidR="00FC76BF" w:rsidRPr="00307DAB" w:rsidRDefault="00FC76BF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6A15A9CF" w14:textId="4034DC09" w:rsidR="0078715A" w:rsidRPr="00771F34" w:rsidRDefault="00307DAB" w:rsidP="00BE2CC8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Izdaci od otplate glavnice primljenih dugoročnih kredita ostvareni su u iznosu od 444.445 kn odnosno 100% plana. Izdaci se odnose na otplatu dugoročnog kredita kod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hr-HR"/>
        </w:rPr>
        <w:t>Addiko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banke za investiciju izmještanja dalekovoda u PZ </w:t>
      </w:r>
      <w:proofErr w:type="spellStart"/>
      <w:r>
        <w:rPr>
          <w:rFonts w:ascii="Arial Narrow" w:eastAsia="Times New Roman" w:hAnsi="Arial Narrow" w:cs="Times New Roman"/>
          <w:sz w:val="24"/>
          <w:szCs w:val="24"/>
          <w:lang w:eastAsia="hr-HR"/>
        </w:rPr>
        <w:t>Lonići</w:t>
      </w:r>
      <w:proofErr w:type="spellEnd"/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</w:t>
      </w:r>
    </w:p>
    <w:p w14:paraId="5C206169" w14:textId="77777777" w:rsidR="0078715A" w:rsidRPr="00771F34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6145D29B" w14:textId="69941BBB" w:rsidR="0078715A" w:rsidRDefault="00F7774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E90A2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Rezultat poslovanja </w:t>
      </w:r>
    </w:p>
    <w:p w14:paraId="71F8B237" w14:textId="77777777" w:rsidR="00FC76BF" w:rsidRPr="00E90A2B" w:rsidRDefault="00FC76BF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710F2F47" w14:textId="6CD9EDA6" w:rsidR="00F56B98" w:rsidRDefault="0078715A" w:rsidP="0075240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  </w:t>
      </w:r>
      <w:r w:rsidR="00E90A2B">
        <w:rPr>
          <w:rFonts w:ascii="Arial Narrow" w:eastAsia="Times New Roman" w:hAnsi="Arial Narrow" w:cs="Times New Roman"/>
          <w:sz w:val="24"/>
          <w:szCs w:val="24"/>
          <w:lang w:eastAsia="hr-HR"/>
        </w:rPr>
        <w:t>2020.</w:t>
      </w:r>
      <w:r w:rsidRP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godin</w:t>
      </w:r>
      <w:r w:rsidR="00E90A2B">
        <w:rPr>
          <w:rFonts w:ascii="Arial Narrow" w:eastAsia="Times New Roman" w:hAnsi="Arial Narrow" w:cs="Times New Roman"/>
          <w:sz w:val="24"/>
          <w:szCs w:val="24"/>
          <w:lang w:eastAsia="hr-HR"/>
        </w:rPr>
        <w:t>i</w:t>
      </w:r>
      <w:r w:rsidRP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utvrđen je višak prihoda i primitaka nad rashodima i izdacima u iznosu od </w:t>
      </w:r>
      <w:r w:rsidR="00E90A2B">
        <w:rPr>
          <w:rFonts w:ascii="Arial Narrow" w:eastAsia="Times New Roman" w:hAnsi="Arial Narrow" w:cs="Times New Roman"/>
          <w:sz w:val="24"/>
          <w:szCs w:val="24"/>
          <w:lang w:eastAsia="hr-HR"/>
        </w:rPr>
        <w:t>1.418.726</w:t>
      </w:r>
      <w:r w:rsidRP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kn, te ako tome pridodamo preneseni manjak od </w:t>
      </w:r>
      <w:r w:rsid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1.985.844 </w:t>
      </w:r>
      <w:r w:rsidRP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kn i </w:t>
      </w:r>
      <w:r w:rsidR="00E90A2B">
        <w:rPr>
          <w:rFonts w:ascii="Arial Narrow" w:eastAsia="Times New Roman" w:hAnsi="Arial Narrow" w:cs="Times New Roman"/>
          <w:sz w:val="24"/>
          <w:szCs w:val="24"/>
          <w:lang w:eastAsia="hr-HR"/>
        </w:rPr>
        <w:t>s</w:t>
      </w:r>
      <w:r w:rsidR="007524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manjenim </w:t>
      </w:r>
      <w:r w:rsidRP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manjk</w:t>
      </w:r>
      <w:r w:rsidR="00752401">
        <w:rPr>
          <w:rFonts w:ascii="Arial Narrow" w:eastAsia="Times New Roman" w:hAnsi="Arial Narrow" w:cs="Times New Roman"/>
          <w:sz w:val="24"/>
          <w:szCs w:val="24"/>
          <w:lang w:eastAsia="hr-HR"/>
        </w:rPr>
        <w:t>om</w:t>
      </w:r>
      <w:r w:rsidRP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 </w:t>
      </w:r>
      <w:r w:rsidR="00E90A2B">
        <w:rPr>
          <w:rFonts w:ascii="Arial Narrow" w:eastAsia="Times New Roman" w:hAnsi="Arial Narrow" w:cs="Times New Roman"/>
          <w:sz w:val="24"/>
          <w:szCs w:val="24"/>
          <w:lang w:eastAsia="hr-HR"/>
        </w:rPr>
        <w:t>2020. godini</w:t>
      </w:r>
      <w:r w:rsidRP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u iznosu od </w:t>
      </w:r>
      <w:r w:rsidR="00E90A2B">
        <w:rPr>
          <w:rFonts w:ascii="Arial Narrow" w:eastAsia="Times New Roman" w:hAnsi="Arial Narrow" w:cs="Times New Roman"/>
          <w:sz w:val="24"/>
          <w:szCs w:val="24"/>
          <w:lang w:eastAsia="hr-HR"/>
        </w:rPr>
        <w:t>104.500</w:t>
      </w:r>
      <w:r w:rsidRP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</w:t>
      </w:r>
      <w:r w:rsidR="007524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zbog istog priznatog rashoda u 2015. i 2019. godini (Manjak se smanjio prema Odluci općinskog vijeća od 29.07.2020. KLASA:021-05/20-01/4 URBROJ:2198/02-01-20-11)</w:t>
      </w:r>
      <w:r w:rsidRP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daje ukupan manjak od </w:t>
      </w:r>
      <w:r w:rsidR="00752401">
        <w:rPr>
          <w:rFonts w:ascii="Arial Narrow" w:eastAsia="Times New Roman" w:hAnsi="Arial Narrow" w:cs="Times New Roman"/>
          <w:sz w:val="24"/>
          <w:szCs w:val="24"/>
          <w:lang w:eastAsia="hr-HR"/>
        </w:rPr>
        <w:t>452.816</w:t>
      </w:r>
      <w:r w:rsidRP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kn.</w:t>
      </w:r>
      <w:r w:rsidR="00752401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Na kraju izvještajnog razdoblja proračunski korisnik ostvario je višak u iznosu od 3.198 kn. </w:t>
      </w:r>
      <w:r w:rsidR="00F77740" w:rsidRPr="00E90A2B">
        <w:rPr>
          <w:rFonts w:ascii="Arial Narrow" w:hAnsi="Arial Narrow"/>
          <w:sz w:val="24"/>
          <w:szCs w:val="24"/>
        </w:rPr>
        <w:t>Manjak će biti saniran u narednom periodu prihodima od sufinanciranja katastarske izmjere.</w:t>
      </w:r>
      <w:r w:rsidR="00F56B98" w:rsidRPr="00E90A2B">
        <w:rPr>
          <w:rFonts w:ascii="Arial Narrow" w:hAnsi="Arial Narrow"/>
          <w:sz w:val="24"/>
          <w:szCs w:val="24"/>
        </w:rPr>
        <w:t xml:space="preserve"> </w:t>
      </w:r>
    </w:p>
    <w:p w14:paraId="7F7EFB4D" w14:textId="77777777" w:rsidR="00FC76BF" w:rsidRPr="00752401" w:rsidRDefault="00FC76BF" w:rsidP="0075240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307DAB" w:rsidRPr="00E90A2B" w14:paraId="2B3CE9B7" w14:textId="77777777" w:rsidTr="00F56B98">
        <w:tc>
          <w:tcPr>
            <w:tcW w:w="4644" w:type="dxa"/>
          </w:tcPr>
          <w:p w14:paraId="6E95A981" w14:textId="77777777" w:rsidR="00F56B98" w:rsidRPr="00E90A2B" w:rsidRDefault="00F56B98" w:rsidP="00F7774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90A2B">
              <w:rPr>
                <w:rFonts w:ascii="Arial Narrow" w:hAnsi="Arial Narrow"/>
                <w:sz w:val="24"/>
                <w:szCs w:val="24"/>
              </w:rPr>
              <w:t xml:space="preserve">Općina Bibinje preneseni manjak iz prethodnih godina </w:t>
            </w:r>
          </w:p>
        </w:tc>
        <w:tc>
          <w:tcPr>
            <w:tcW w:w="4644" w:type="dxa"/>
          </w:tcPr>
          <w:p w14:paraId="7E94BDA9" w14:textId="195FC3B5" w:rsidR="00F56B98" w:rsidRPr="00E90A2B" w:rsidRDefault="00F56B98" w:rsidP="00F7774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90A2B">
              <w:rPr>
                <w:rFonts w:ascii="Arial Narrow" w:hAnsi="Arial Narrow"/>
                <w:sz w:val="24"/>
                <w:szCs w:val="24"/>
              </w:rPr>
              <w:t>-</w:t>
            </w:r>
            <w:r w:rsidR="00752401">
              <w:rPr>
                <w:rFonts w:ascii="Arial Narrow" w:hAnsi="Arial Narrow"/>
                <w:sz w:val="24"/>
                <w:szCs w:val="24"/>
              </w:rPr>
              <w:t>1.881.345</w:t>
            </w:r>
            <w:r w:rsidRPr="00E90A2B">
              <w:rPr>
                <w:rFonts w:ascii="Arial Narrow" w:hAnsi="Arial Narrow"/>
                <w:sz w:val="24"/>
                <w:szCs w:val="24"/>
              </w:rPr>
              <w:t xml:space="preserve"> kn</w:t>
            </w:r>
          </w:p>
        </w:tc>
      </w:tr>
      <w:tr w:rsidR="00307DAB" w:rsidRPr="00E90A2B" w14:paraId="60F82961" w14:textId="77777777" w:rsidTr="00F56B98">
        <w:tc>
          <w:tcPr>
            <w:tcW w:w="4644" w:type="dxa"/>
          </w:tcPr>
          <w:p w14:paraId="5ADEEBEB" w14:textId="0C68301A" w:rsidR="00F56B98" w:rsidRPr="00E90A2B" w:rsidRDefault="00F56B98" w:rsidP="00F7774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90A2B">
              <w:rPr>
                <w:rFonts w:ascii="Arial Narrow" w:hAnsi="Arial Narrow"/>
                <w:sz w:val="24"/>
                <w:szCs w:val="24"/>
              </w:rPr>
              <w:t>Općina Bibinje ostvareni višak u 20</w:t>
            </w:r>
            <w:r w:rsidR="00752401">
              <w:rPr>
                <w:rFonts w:ascii="Arial Narrow" w:hAnsi="Arial Narrow"/>
                <w:sz w:val="24"/>
                <w:szCs w:val="24"/>
              </w:rPr>
              <w:t>20</w:t>
            </w:r>
            <w:r w:rsidRPr="00E90A2B">
              <w:rPr>
                <w:rFonts w:ascii="Arial Narrow" w:hAnsi="Arial Narrow"/>
                <w:sz w:val="24"/>
                <w:szCs w:val="24"/>
              </w:rPr>
              <w:t>. godini</w:t>
            </w:r>
          </w:p>
        </w:tc>
        <w:tc>
          <w:tcPr>
            <w:tcW w:w="4644" w:type="dxa"/>
          </w:tcPr>
          <w:p w14:paraId="350D796D" w14:textId="3C5F9DBA" w:rsidR="00F56B98" w:rsidRPr="00E90A2B" w:rsidRDefault="00307DAB" w:rsidP="00F7774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1.415.528 </w:t>
            </w:r>
            <w:r w:rsidR="00F56B98" w:rsidRPr="00E90A2B">
              <w:rPr>
                <w:rFonts w:ascii="Arial Narrow" w:hAnsi="Arial Narrow"/>
                <w:sz w:val="24"/>
                <w:szCs w:val="24"/>
              </w:rPr>
              <w:t>kn</w:t>
            </w:r>
          </w:p>
        </w:tc>
      </w:tr>
      <w:tr w:rsidR="00307DAB" w:rsidRPr="00E90A2B" w14:paraId="397A1F2C" w14:textId="77777777" w:rsidTr="00F56B98">
        <w:tc>
          <w:tcPr>
            <w:tcW w:w="4644" w:type="dxa"/>
          </w:tcPr>
          <w:p w14:paraId="2B5865D3" w14:textId="02A2F8CA" w:rsidR="00F56B98" w:rsidRPr="00E90A2B" w:rsidRDefault="00F56B98" w:rsidP="00F7774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90A2B">
              <w:rPr>
                <w:rFonts w:ascii="Arial Narrow" w:hAnsi="Arial Narrow"/>
                <w:sz w:val="24"/>
                <w:szCs w:val="24"/>
              </w:rPr>
              <w:t xml:space="preserve">Proračunski korisnik DV Leptirići preneseni </w:t>
            </w:r>
            <w:r w:rsidR="00307DAB">
              <w:rPr>
                <w:rFonts w:ascii="Arial Narrow" w:hAnsi="Arial Narrow"/>
                <w:sz w:val="24"/>
                <w:szCs w:val="24"/>
              </w:rPr>
              <w:t>višak</w:t>
            </w:r>
            <w:r w:rsidRPr="00E90A2B">
              <w:rPr>
                <w:rFonts w:ascii="Arial Narrow" w:hAnsi="Arial Narrow"/>
                <w:sz w:val="24"/>
                <w:szCs w:val="24"/>
              </w:rPr>
              <w:t xml:space="preserve"> iz prethodnih godina</w:t>
            </w:r>
          </w:p>
        </w:tc>
        <w:tc>
          <w:tcPr>
            <w:tcW w:w="4644" w:type="dxa"/>
          </w:tcPr>
          <w:p w14:paraId="79472598" w14:textId="48332E74" w:rsidR="00F56B98" w:rsidRPr="00E90A2B" w:rsidRDefault="00307DAB" w:rsidP="00F7774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10.003</w:t>
            </w:r>
            <w:r w:rsidR="00F56B98" w:rsidRPr="00E90A2B">
              <w:rPr>
                <w:rFonts w:ascii="Arial Narrow" w:hAnsi="Arial Narrow"/>
                <w:sz w:val="24"/>
                <w:szCs w:val="24"/>
              </w:rPr>
              <w:t xml:space="preserve"> kn</w:t>
            </w:r>
          </w:p>
        </w:tc>
      </w:tr>
      <w:tr w:rsidR="00307DAB" w:rsidRPr="00E90A2B" w14:paraId="07BFF52A" w14:textId="77777777" w:rsidTr="00F56B98">
        <w:tc>
          <w:tcPr>
            <w:tcW w:w="4644" w:type="dxa"/>
          </w:tcPr>
          <w:p w14:paraId="1D0AA4A4" w14:textId="68E090E2" w:rsidR="00F56B98" w:rsidRPr="00E90A2B" w:rsidRDefault="00F56B98" w:rsidP="00F56B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90A2B">
              <w:rPr>
                <w:rFonts w:ascii="Arial Narrow" w:hAnsi="Arial Narrow"/>
                <w:sz w:val="24"/>
                <w:szCs w:val="24"/>
              </w:rPr>
              <w:t>Proračunski korisnik DV Leptirići ostvareni manjak u 20</w:t>
            </w:r>
            <w:r w:rsidR="00307DAB">
              <w:rPr>
                <w:rFonts w:ascii="Arial Narrow" w:hAnsi="Arial Narrow"/>
                <w:sz w:val="24"/>
                <w:szCs w:val="24"/>
              </w:rPr>
              <w:t>20</w:t>
            </w:r>
            <w:r w:rsidRPr="00E90A2B">
              <w:rPr>
                <w:rFonts w:ascii="Arial Narrow" w:hAnsi="Arial Narrow"/>
                <w:sz w:val="24"/>
                <w:szCs w:val="24"/>
              </w:rPr>
              <w:t>. godini</w:t>
            </w:r>
          </w:p>
        </w:tc>
        <w:tc>
          <w:tcPr>
            <w:tcW w:w="4644" w:type="dxa"/>
          </w:tcPr>
          <w:p w14:paraId="3C5AF042" w14:textId="31BB906A" w:rsidR="00F56B98" w:rsidRPr="00E90A2B" w:rsidRDefault="00307DAB" w:rsidP="00F7774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3.198</w:t>
            </w:r>
            <w:r w:rsidR="00F56B98" w:rsidRPr="00E90A2B">
              <w:rPr>
                <w:rFonts w:ascii="Arial Narrow" w:hAnsi="Arial Narrow"/>
                <w:sz w:val="24"/>
                <w:szCs w:val="24"/>
              </w:rPr>
              <w:t xml:space="preserve"> kn</w:t>
            </w:r>
          </w:p>
        </w:tc>
      </w:tr>
      <w:tr w:rsidR="00307DAB" w:rsidRPr="00E90A2B" w14:paraId="0131DC8F" w14:textId="77777777" w:rsidTr="00F56B98">
        <w:tc>
          <w:tcPr>
            <w:tcW w:w="4644" w:type="dxa"/>
          </w:tcPr>
          <w:p w14:paraId="6A2CEFEC" w14:textId="77777777" w:rsidR="00F56B98" w:rsidRPr="00E90A2B" w:rsidRDefault="00F56B98" w:rsidP="00F56B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90A2B">
              <w:rPr>
                <w:rFonts w:ascii="Arial Narrow" w:hAnsi="Arial Narrow"/>
                <w:sz w:val="24"/>
                <w:szCs w:val="24"/>
              </w:rPr>
              <w:lastRenderedPageBreak/>
              <w:t>Ukupni manjak</w:t>
            </w:r>
          </w:p>
        </w:tc>
        <w:tc>
          <w:tcPr>
            <w:tcW w:w="4644" w:type="dxa"/>
          </w:tcPr>
          <w:p w14:paraId="58FD1C41" w14:textId="2AB248F8" w:rsidR="00F56B98" w:rsidRPr="00E90A2B" w:rsidRDefault="00F56B98" w:rsidP="00F7774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90A2B">
              <w:rPr>
                <w:rFonts w:ascii="Arial Narrow" w:hAnsi="Arial Narrow"/>
                <w:sz w:val="24"/>
                <w:szCs w:val="24"/>
              </w:rPr>
              <w:t>-</w:t>
            </w:r>
            <w:r w:rsidR="00307DAB">
              <w:rPr>
                <w:rFonts w:ascii="Arial Narrow" w:hAnsi="Arial Narrow"/>
                <w:sz w:val="24"/>
                <w:szCs w:val="24"/>
              </w:rPr>
              <w:t>452.616 kn</w:t>
            </w:r>
          </w:p>
        </w:tc>
      </w:tr>
    </w:tbl>
    <w:p w14:paraId="70E6FF7C" w14:textId="77777777" w:rsidR="00F56B98" w:rsidRPr="00771F34" w:rsidRDefault="00F56B98" w:rsidP="00F77740">
      <w:pPr>
        <w:jc w:val="both"/>
        <w:rPr>
          <w:rFonts w:ascii="Arial Narrow" w:hAnsi="Arial Narrow"/>
          <w:color w:val="FF0000"/>
          <w:sz w:val="24"/>
          <w:szCs w:val="24"/>
        </w:rPr>
      </w:pPr>
    </w:p>
    <w:p w14:paraId="68E43853" w14:textId="26CB49B2" w:rsidR="0078715A" w:rsidRPr="00D949E2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D949E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Stanje novčanih sredstava </w:t>
      </w:r>
      <w:r w:rsidR="00D949E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Općine Bibinje </w:t>
      </w:r>
      <w:r w:rsidRPr="00D949E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na dan </w:t>
      </w:r>
      <w:r w:rsidR="00F77740" w:rsidRPr="00D949E2">
        <w:rPr>
          <w:rFonts w:ascii="Arial Narrow" w:eastAsia="Times New Roman" w:hAnsi="Arial Narrow" w:cs="Times New Roman"/>
          <w:sz w:val="24"/>
          <w:szCs w:val="24"/>
          <w:lang w:eastAsia="hr-HR"/>
        </w:rPr>
        <w:t>31.12</w:t>
      </w:r>
      <w:r w:rsidRPr="00D949E2">
        <w:rPr>
          <w:rFonts w:ascii="Arial Narrow" w:eastAsia="Times New Roman" w:hAnsi="Arial Narrow" w:cs="Times New Roman"/>
          <w:sz w:val="24"/>
          <w:szCs w:val="24"/>
          <w:lang w:eastAsia="hr-HR"/>
        </w:rPr>
        <w:t>.20</w:t>
      </w:r>
      <w:r w:rsidR="00D949E2">
        <w:rPr>
          <w:rFonts w:ascii="Arial Narrow" w:eastAsia="Times New Roman" w:hAnsi="Arial Narrow" w:cs="Times New Roman"/>
          <w:sz w:val="24"/>
          <w:szCs w:val="24"/>
          <w:lang w:eastAsia="hr-HR"/>
        </w:rPr>
        <w:t>20</w:t>
      </w:r>
      <w:r w:rsidRPr="00D949E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godine je </w:t>
      </w:r>
      <w:r w:rsidR="00D949E2">
        <w:rPr>
          <w:rFonts w:ascii="Arial Narrow" w:eastAsia="Times New Roman" w:hAnsi="Arial Narrow" w:cs="Times New Roman"/>
          <w:sz w:val="24"/>
          <w:szCs w:val="24"/>
          <w:lang w:eastAsia="hr-HR"/>
        </w:rPr>
        <w:t>995.026</w:t>
      </w:r>
      <w:r w:rsidRPr="00D949E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kn.</w:t>
      </w:r>
    </w:p>
    <w:p w14:paraId="1651AC56" w14:textId="77777777" w:rsidR="0078715A" w:rsidRPr="00771F34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564D0D19" w14:textId="26C6C064" w:rsidR="0078715A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7E3CAF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Stanje nenaplaćenih potraživanja </w:t>
      </w:r>
    </w:p>
    <w:p w14:paraId="31CF945F" w14:textId="77777777" w:rsidR="002D1E8E" w:rsidRPr="007E3CAF" w:rsidRDefault="002D1E8E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64FC5837" w14:textId="0898A8E2" w:rsidR="001E63EA" w:rsidRPr="007E3CAF" w:rsidRDefault="001E63EA" w:rsidP="001E63E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E3CAF">
        <w:rPr>
          <w:rFonts w:ascii="Arial Narrow" w:hAnsi="Arial Narrow"/>
          <w:sz w:val="24"/>
          <w:szCs w:val="24"/>
        </w:rPr>
        <w:t xml:space="preserve">Potraživanja za prihode poslovanja iznose </w:t>
      </w:r>
      <w:r w:rsidR="007E3CAF">
        <w:rPr>
          <w:rFonts w:ascii="Arial Narrow" w:hAnsi="Arial Narrow"/>
          <w:sz w:val="24"/>
          <w:szCs w:val="24"/>
        </w:rPr>
        <w:t xml:space="preserve">3.512.622 </w:t>
      </w:r>
      <w:r w:rsidRPr="007E3CAF">
        <w:rPr>
          <w:rFonts w:ascii="Arial Narrow" w:hAnsi="Arial Narrow"/>
          <w:sz w:val="24"/>
          <w:szCs w:val="24"/>
        </w:rPr>
        <w:t xml:space="preserve"> kuna</w:t>
      </w:r>
      <w:r w:rsidRPr="007E3CAF">
        <w:rPr>
          <w:rFonts w:ascii="Arial Narrow" w:hAnsi="Arial Narrow"/>
          <w:b/>
          <w:sz w:val="24"/>
          <w:szCs w:val="24"/>
        </w:rPr>
        <w:t xml:space="preserve">. </w:t>
      </w:r>
      <w:r w:rsidRPr="007E3CAF">
        <w:rPr>
          <w:rFonts w:ascii="Arial Narrow" w:hAnsi="Arial Narrow"/>
          <w:sz w:val="24"/>
          <w:szCs w:val="24"/>
        </w:rPr>
        <w:t>Od toga:</w:t>
      </w:r>
    </w:p>
    <w:p w14:paraId="3FD1118B" w14:textId="3B48FD14" w:rsidR="001E63EA" w:rsidRPr="007E3CAF" w:rsidRDefault="001E63EA" w:rsidP="001E63E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E3CAF">
        <w:rPr>
          <w:rFonts w:ascii="Arial Narrow" w:hAnsi="Arial Narrow"/>
          <w:sz w:val="24"/>
          <w:szCs w:val="24"/>
        </w:rPr>
        <w:tab/>
        <w:t xml:space="preserve">-Potraživanja za poreze </w:t>
      </w:r>
      <w:r w:rsidR="007E3CAF">
        <w:rPr>
          <w:rFonts w:ascii="Arial Narrow" w:hAnsi="Arial Narrow"/>
          <w:sz w:val="24"/>
          <w:szCs w:val="24"/>
        </w:rPr>
        <w:t>1.955.697</w:t>
      </w:r>
      <w:r w:rsidRPr="007E3CAF">
        <w:rPr>
          <w:rFonts w:ascii="Arial Narrow" w:hAnsi="Arial Narrow"/>
          <w:sz w:val="24"/>
          <w:szCs w:val="24"/>
        </w:rPr>
        <w:t xml:space="preserve"> kuna</w:t>
      </w:r>
    </w:p>
    <w:p w14:paraId="529AD9FC" w14:textId="0A1D0C2F" w:rsidR="001E63EA" w:rsidRPr="007E3CAF" w:rsidRDefault="001E63EA" w:rsidP="001E63E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E3CAF">
        <w:rPr>
          <w:rFonts w:ascii="Arial Narrow" w:hAnsi="Arial Narrow"/>
          <w:sz w:val="24"/>
          <w:szCs w:val="24"/>
        </w:rPr>
        <w:tab/>
        <w:t xml:space="preserve">-Potraživanja za prihode od imovine </w:t>
      </w:r>
      <w:r w:rsidR="007E3CAF">
        <w:rPr>
          <w:rFonts w:ascii="Arial Narrow" w:hAnsi="Arial Narrow"/>
          <w:sz w:val="24"/>
          <w:szCs w:val="24"/>
        </w:rPr>
        <w:t>490.464</w:t>
      </w:r>
      <w:r w:rsidRPr="007E3CAF">
        <w:rPr>
          <w:rFonts w:ascii="Arial Narrow" w:hAnsi="Arial Narrow"/>
          <w:sz w:val="24"/>
          <w:szCs w:val="24"/>
        </w:rPr>
        <w:t xml:space="preserve"> kuna</w:t>
      </w:r>
    </w:p>
    <w:p w14:paraId="19A9863F" w14:textId="71C65509" w:rsidR="001E63EA" w:rsidRPr="007E3CAF" w:rsidRDefault="001E63EA" w:rsidP="001E63EA">
      <w:pPr>
        <w:spacing w:after="0" w:line="240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7E3CAF">
        <w:rPr>
          <w:rFonts w:ascii="Arial Narrow" w:hAnsi="Arial Narrow"/>
          <w:sz w:val="24"/>
          <w:szCs w:val="24"/>
        </w:rPr>
        <w:t xml:space="preserve">-Potraživanje za upravne i administrativne pristojbe, pristojbe po posebnim propisima i naknade </w:t>
      </w:r>
      <w:r w:rsidRPr="007E3CAF">
        <w:rPr>
          <w:rFonts w:ascii="Arial Narrow" w:hAnsi="Arial Narrow"/>
          <w:sz w:val="24"/>
          <w:szCs w:val="24"/>
        </w:rPr>
        <w:tab/>
      </w:r>
      <w:r w:rsidR="007E3CAF">
        <w:rPr>
          <w:rFonts w:ascii="Arial Narrow" w:hAnsi="Arial Narrow"/>
          <w:sz w:val="24"/>
          <w:szCs w:val="24"/>
        </w:rPr>
        <w:t>4.151.691</w:t>
      </w:r>
      <w:r w:rsidRPr="007E3CAF">
        <w:rPr>
          <w:rFonts w:ascii="Arial Narrow" w:hAnsi="Arial Narrow"/>
          <w:sz w:val="24"/>
          <w:szCs w:val="24"/>
        </w:rPr>
        <w:t xml:space="preserve"> kuna</w:t>
      </w:r>
    </w:p>
    <w:p w14:paraId="178FCF5E" w14:textId="77777777" w:rsidR="001E63EA" w:rsidRPr="007E3CAF" w:rsidRDefault="001E63EA" w:rsidP="001E63E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E3CAF">
        <w:rPr>
          <w:rFonts w:ascii="Arial Narrow" w:hAnsi="Arial Narrow"/>
          <w:sz w:val="24"/>
          <w:szCs w:val="24"/>
        </w:rPr>
        <w:tab/>
        <w:t>-Potraživanja za kazne i upravne mjere te ostale prihode 1.500 kuna</w:t>
      </w:r>
    </w:p>
    <w:p w14:paraId="031310A2" w14:textId="5578C007" w:rsidR="001E63EA" w:rsidRPr="007E3CAF" w:rsidRDefault="001E63EA" w:rsidP="001E63EA">
      <w:pPr>
        <w:spacing w:after="0" w:line="240" w:lineRule="auto"/>
        <w:ind w:left="708"/>
        <w:jc w:val="both"/>
        <w:rPr>
          <w:rFonts w:ascii="Arial Narrow" w:hAnsi="Arial Narrow"/>
          <w:sz w:val="24"/>
          <w:szCs w:val="24"/>
        </w:rPr>
      </w:pPr>
      <w:r w:rsidRPr="007E3CAF">
        <w:rPr>
          <w:rFonts w:ascii="Arial Narrow" w:hAnsi="Arial Narrow"/>
          <w:sz w:val="24"/>
          <w:szCs w:val="24"/>
        </w:rPr>
        <w:t xml:space="preserve">-Ispravkom vrijednosti potraživanja smanjena su potraživanja u iznosu od </w:t>
      </w:r>
      <w:r w:rsidR="007E3CAF">
        <w:rPr>
          <w:rFonts w:ascii="Arial Narrow" w:hAnsi="Arial Narrow"/>
          <w:sz w:val="24"/>
          <w:szCs w:val="24"/>
        </w:rPr>
        <w:t>3.086.730</w:t>
      </w:r>
      <w:r w:rsidRPr="007E3CAF">
        <w:rPr>
          <w:rFonts w:ascii="Arial Narrow" w:hAnsi="Arial Narrow"/>
          <w:sz w:val="24"/>
          <w:szCs w:val="24"/>
        </w:rPr>
        <w:t xml:space="preserve"> kuna.</w:t>
      </w:r>
    </w:p>
    <w:p w14:paraId="0D71D545" w14:textId="14935EC3" w:rsidR="001E63EA" w:rsidRDefault="001E63EA" w:rsidP="001E63EA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7E3CAF">
        <w:rPr>
          <w:rFonts w:ascii="Arial Narrow" w:hAnsi="Arial Narrow"/>
          <w:sz w:val="24"/>
          <w:szCs w:val="24"/>
        </w:rPr>
        <w:t xml:space="preserve">-Potraživanja od prodaje nefinancijske imovine iznose </w:t>
      </w:r>
      <w:r w:rsidR="007E3CAF">
        <w:rPr>
          <w:rFonts w:ascii="Arial Narrow" w:hAnsi="Arial Narrow"/>
          <w:sz w:val="24"/>
          <w:szCs w:val="24"/>
        </w:rPr>
        <w:t>1.837.517</w:t>
      </w:r>
      <w:r w:rsidRPr="007E3CAF">
        <w:rPr>
          <w:rFonts w:ascii="Arial Narrow" w:hAnsi="Arial Narrow"/>
          <w:sz w:val="24"/>
          <w:szCs w:val="24"/>
        </w:rPr>
        <w:t xml:space="preserve"> kuna.</w:t>
      </w:r>
    </w:p>
    <w:p w14:paraId="060133E8" w14:textId="4C0B8B89" w:rsidR="007E3CAF" w:rsidRPr="007E3CAF" w:rsidRDefault="007E3CAF" w:rsidP="007E3CAF">
      <w:pPr>
        <w:spacing w:after="0" w:line="240" w:lineRule="auto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Pr="007E3CAF">
        <w:rPr>
          <w:rFonts w:ascii="Arial Narrow" w:hAnsi="Arial Narrow"/>
          <w:sz w:val="24"/>
          <w:szCs w:val="24"/>
        </w:rPr>
        <w:t xml:space="preserve">Ispravkom vrijednosti potraživanja </w:t>
      </w:r>
      <w:r>
        <w:rPr>
          <w:rFonts w:ascii="Arial Narrow" w:hAnsi="Arial Narrow"/>
          <w:sz w:val="24"/>
          <w:szCs w:val="24"/>
        </w:rPr>
        <w:t xml:space="preserve">za prodanu nefinancijsku imovinu </w:t>
      </w:r>
      <w:r w:rsidRPr="007E3CAF">
        <w:rPr>
          <w:rFonts w:ascii="Arial Narrow" w:hAnsi="Arial Narrow"/>
          <w:sz w:val="24"/>
          <w:szCs w:val="24"/>
        </w:rPr>
        <w:t xml:space="preserve">smanjena su potraživanja u iznosu od </w:t>
      </w:r>
      <w:r>
        <w:rPr>
          <w:rFonts w:ascii="Arial Narrow" w:hAnsi="Arial Narrow"/>
          <w:sz w:val="24"/>
          <w:szCs w:val="24"/>
        </w:rPr>
        <w:t>1.082.392</w:t>
      </w:r>
      <w:r w:rsidRPr="007E3CAF">
        <w:rPr>
          <w:rFonts w:ascii="Arial Narrow" w:hAnsi="Arial Narrow"/>
          <w:sz w:val="24"/>
          <w:szCs w:val="24"/>
        </w:rPr>
        <w:t xml:space="preserve"> kuna.</w:t>
      </w:r>
    </w:p>
    <w:p w14:paraId="630F774E" w14:textId="77777777" w:rsidR="0078715A" w:rsidRPr="00771F34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</w:pPr>
    </w:p>
    <w:p w14:paraId="6360E7DD" w14:textId="037BC467" w:rsidR="0078715A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7E3CAF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Stanje nepodmirenih dospjelih obveza</w:t>
      </w:r>
    </w:p>
    <w:p w14:paraId="3E2A4643" w14:textId="77777777" w:rsidR="002D1E8E" w:rsidRPr="007E3CAF" w:rsidRDefault="002D1E8E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17AC0525" w14:textId="078711B1" w:rsidR="0078715A" w:rsidRPr="007E3CAF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E3CAF">
        <w:rPr>
          <w:rFonts w:ascii="Arial Narrow" w:eastAsia="Times New Roman" w:hAnsi="Arial Narrow" w:cs="Times New Roman"/>
          <w:sz w:val="24"/>
          <w:szCs w:val="24"/>
          <w:lang w:eastAsia="hr-HR"/>
        </w:rPr>
        <w:t>Stanje dospjelih obveza na dan 31.12.20</w:t>
      </w:r>
      <w:r w:rsidR="007E3CAF">
        <w:rPr>
          <w:rFonts w:ascii="Arial Narrow" w:eastAsia="Times New Roman" w:hAnsi="Arial Narrow" w:cs="Times New Roman"/>
          <w:sz w:val="24"/>
          <w:szCs w:val="24"/>
          <w:lang w:eastAsia="hr-HR"/>
        </w:rPr>
        <w:t>20</w:t>
      </w:r>
      <w:r w:rsidRPr="007E3CA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. godine iznosi </w:t>
      </w:r>
      <w:r w:rsidR="007E3CA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1.309.198 </w:t>
      </w:r>
      <w:r w:rsidRPr="007E3CAF">
        <w:rPr>
          <w:rFonts w:ascii="Arial Narrow" w:eastAsia="Times New Roman" w:hAnsi="Arial Narrow" w:cs="Times New Roman"/>
          <w:sz w:val="24"/>
          <w:szCs w:val="24"/>
          <w:lang w:eastAsia="hr-HR"/>
        </w:rPr>
        <w:t>kn.</w:t>
      </w:r>
    </w:p>
    <w:p w14:paraId="3D4E1995" w14:textId="77777777" w:rsidR="00205C26" w:rsidRPr="00771F34" w:rsidRDefault="00205C26" w:rsidP="00BE2CC8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78384B5B" w14:textId="76D63D92" w:rsidR="00205C26" w:rsidRDefault="00205C26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D949E2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Stanje potencijalnih obveza po osnovi sudskih sporova </w:t>
      </w:r>
    </w:p>
    <w:p w14:paraId="140503F3" w14:textId="77777777" w:rsidR="002D1E8E" w:rsidRPr="00D949E2" w:rsidRDefault="002D1E8E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02141676" w14:textId="1F754923" w:rsidR="00D949E2" w:rsidRDefault="00205C26" w:rsidP="00BE2C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949E2">
        <w:rPr>
          <w:rFonts w:ascii="Arial Narrow" w:hAnsi="Arial Narrow"/>
          <w:sz w:val="24"/>
          <w:szCs w:val="24"/>
        </w:rPr>
        <w:t xml:space="preserve">Obveze po sudskim sporovima u tijeku iznose </w:t>
      </w:r>
      <w:r w:rsidR="00D949E2">
        <w:rPr>
          <w:rFonts w:ascii="Arial Narrow" w:hAnsi="Arial Narrow"/>
          <w:sz w:val="24"/>
          <w:szCs w:val="24"/>
        </w:rPr>
        <w:t>610.391</w:t>
      </w:r>
      <w:r w:rsidRPr="00D949E2">
        <w:rPr>
          <w:rFonts w:ascii="Arial Narrow" w:hAnsi="Arial Narrow"/>
          <w:sz w:val="24"/>
          <w:szCs w:val="24"/>
        </w:rPr>
        <w:t xml:space="preserve"> kunu ukupno ih je </w:t>
      </w:r>
      <w:r w:rsidR="00D949E2">
        <w:rPr>
          <w:rFonts w:ascii="Arial Narrow" w:hAnsi="Arial Narrow"/>
          <w:sz w:val="24"/>
          <w:szCs w:val="24"/>
        </w:rPr>
        <w:t>osam</w:t>
      </w:r>
      <w:r w:rsidRPr="00D949E2">
        <w:rPr>
          <w:rFonts w:ascii="Arial Narrow" w:hAnsi="Arial Narrow"/>
          <w:sz w:val="24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"/>
        <w:gridCol w:w="2113"/>
        <w:gridCol w:w="1919"/>
        <w:gridCol w:w="1817"/>
        <w:gridCol w:w="2562"/>
      </w:tblGrid>
      <w:tr w:rsidR="00D949E2" w:rsidRPr="00BF0CF4" w14:paraId="7C07E3EA" w14:textId="77777777" w:rsidTr="00FE3CDF">
        <w:tc>
          <w:tcPr>
            <w:tcW w:w="683" w:type="dxa"/>
          </w:tcPr>
          <w:p w14:paraId="196E8AD7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Broj</w:t>
            </w:r>
          </w:p>
        </w:tc>
        <w:tc>
          <w:tcPr>
            <w:tcW w:w="2402" w:type="dxa"/>
          </w:tcPr>
          <w:p w14:paraId="40D128B5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Naziv i broj parnice</w:t>
            </w:r>
          </w:p>
        </w:tc>
        <w:tc>
          <w:tcPr>
            <w:tcW w:w="2126" w:type="dxa"/>
          </w:tcPr>
          <w:p w14:paraId="33136FFC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Vrijednost spora na dan 31.12.2020.</w:t>
            </w:r>
          </w:p>
        </w:tc>
        <w:tc>
          <w:tcPr>
            <w:tcW w:w="1985" w:type="dxa"/>
          </w:tcPr>
          <w:p w14:paraId="0BBBF449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Procijenjeno vrijeme odlijeva / priljeva sredstava</w:t>
            </w:r>
          </w:p>
        </w:tc>
        <w:tc>
          <w:tcPr>
            <w:tcW w:w="2969" w:type="dxa"/>
          </w:tcPr>
          <w:p w14:paraId="449750E9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Opis spora</w:t>
            </w:r>
          </w:p>
        </w:tc>
      </w:tr>
      <w:tr w:rsidR="00D949E2" w:rsidRPr="00BF0CF4" w14:paraId="645D080B" w14:textId="77777777" w:rsidTr="00FE3CDF">
        <w:tc>
          <w:tcPr>
            <w:tcW w:w="683" w:type="dxa"/>
          </w:tcPr>
          <w:p w14:paraId="55BF9014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1.</w:t>
            </w:r>
          </w:p>
        </w:tc>
        <w:tc>
          <w:tcPr>
            <w:tcW w:w="2402" w:type="dxa"/>
          </w:tcPr>
          <w:p w14:paraId="310723B6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Visoki trgovački sud RH, Pž-731/2019</w:t>
            </w:r>
          </w:p>
        </w:tc>
        <w:tc>
          <w:tcPr>
            <w:tcW w:w="2126" w:type="dxa"/>
          </w:tcPr>
          <w:p w14:paraId="79F1CBCA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327.610 kn</w:t>
            </w:r>
          </w:p>
        </w:tc>
        <w:tc>
          <w:tcPr>
            <w:tcW w:w="1985" w:type="dxa"/>
          </w:tcPr>
          <w:p w14:paraId="4C23F9F2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2021.</w:t>
            </w:r>
          </w:p>
        </w:tc>
        <w:tc>
          <w:tcPr>
            <w:tcW w:w="2969" w:type="dxa"/>
          </w:tcPr>
          <w:p w14:paraId="1B38929B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isplata, pravna osoba 1</w:t>
            </w:r>
          </w:p>
        </w:tc>
      </w:tr>
      <w:tr w:rsidR="00D949E2" w:rsidRPr="00BF0CF4" w14:paraId="3E3E6C64" w14:textId="77777777" w:rsidTr="00FE3CDF">
        <w:tc>
          <w:tcPr>
            <w:tcW w:w="683" w:type="dxa"/>
          </w:tcPr>
          <w:p w14:paraId="600A6FA0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2.</w:t>
            </w:r>
          </w:p>
        </w:tc>
        <w:tc>
          <w:tcPr>
            <w:tcW w:w="2402" w:type="dxa"/>
          </w:tcPr>
          <w:p w14:paraId="0B6940F8" w14:textId="77777777" w:rsidR="00D949E2" w:rsidRPr="00D949E2" w:rsidRDefault="00D949E2" w:rsidP="00FE3CDF">
            <w:pPr>
              <w:jc w:val="both"/>
              <w:rPr>
                <w:rFonts w:ascii="Arial Narrow" w:hAnsi="Arial Narrow" w:cs="Calibri"/>
                <w:color w:val="000000"/>
              </w:rPr>
            </w:pPr>
            <w:r w:rsidRPr="00D949E2">
              <w:rPr>
                <w:rFonts w:ascii="Arial Narrow" w:hAnsi="Arial Narrow" w:cs="Calibri"/>
                <w:color w:val="000000"/>
              </w:rPr>
              <w:t> </w:t>
            </w:r>
            <w:r w:rsidRPr="00D949E2">
              <w:rPr>
                <w:rFonts w:ascii="Arial Narrow" w:hAnsi="Arial Narrow"/>
                <w:bCs/>
              </w:rPr>
              <w:t>Visoki trgovački sud RH, Pž-1026/2019</w:t>
            </w:r>
          </w:p>
        </w:tc>
        <w:tc>
          <w:tcPr>
            <w:tcW w:w="2126" w:type="dxa"/>
          </w:tcPr>
          <w:p w14:paraId="5FEE1686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50.779,55 kn</w:t>
            </w:r>
          </w:p>
        </w:tc>
        <w:tc>
          <w:tcPr>
            <w:tcW w:w="1985" w:type="dxa"/>
          </w:tcPr>
          <w:p w14:paraId="4BE307DE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2021.</w:t>
            </w:r>
          </w:p>
        </w:tc>
        <w:tc>
          <w:tcPr>
            <w:tcW w:w="2969" w:type="dxa"/>
          </w:tcPr>
          <w:p w14:paraId="5FB1ACC8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isplata, pravna osoba 2</w:t>
            </w:r>
          </w:p>
        </w:tc>
      </w:tr>
      <w:tr w:rsidR="00D949E2" w:rsidRPr="00BF0CF4" w14:paraId="31026047" w14:textId="77777777" w:rsidTr="00FE3CDF">
        <w:tc>
          <w:tcPr>
            <w:tcW w:w="683" w:type="dxa"/>
          </w:tcPr>
          <w:p w14:paraId="7BD11C34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3.</w:t>
            </w:r>
          </w:p>
        </w:tc>
        <w:tc>
          <w:tcPr>
            <w:tcW w:w="2402" w:type="dxa"/>
          </w:tcPr>
          <w:p w14:paraId="2033FBF7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Općinski sud u Zadru, P-2289/16</w:t>
            </w:r>
          </w:p>
        </w:tc>
        <w:tc>
          <w:tcPr>
            <w:tcW w:w="2126" w:type="dxa"/>
          </w:tcPr>
          <w:p w14:paraId="0555FCFD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201.000,00 kn</w:t>
            </w:r>
          </w:p>
        </w:tc>
        <w:tc>
          <w:tcPr>
            <w:tcW w:w="1985" w:type="dxa"/>
          </w:tcPr>
          <w:p w14:paraId="4ED7299C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2021.</w:t>
            </w:r>
          </w:p>
        </w:tc>
        <w:tc>
          <w:tcPr>
            <w:tcW w:w="2969" w:type="dxa"/>
          </w:tcPr>
          <w:p w14:paraId="2F642C40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utvrđivanje vlasništva, fizička osoba 1</w:t>
            </w:r>
          </w:p>
        </w:tc>
      </w:tr>
      <w:tr w:rsidR="00D949E2" w:rsidRPr="00BF0CF4" w14:paraId="37C90515" w14:textId="77777777" w:rsidTr="00FE3CDF">
        <w:tc>
          <w:tcPr>
            <w:tcW w:w="683" w:type="dxa"/>
          </w:tcPr>
          <w:p w14:paraId="43345324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4.</w:t>
            </w:r>
          </w:p>
        </w:tc>
        <w:tc>
          <w:tcPr>
            <w:tcW w:w="2402" w:type="dxa"/>
          </w:tcPr>
          <w:p w14:paraId="496673A1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Općinski sud u Zadru, P-2003/17</w:t>
            </w:r>
          </w:p>
        </w:tc>
        <w:tc>
          <w:tcPr>
            <w:tcW w:w="2126" w:type="dxa"/>
          </w:tcPr>
          <w:p w14:paraId="7A6EC260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11.000,00 kn</w:t>
            </w:r>
          </w:p>
        </w:tc>
        <w:tc>
          <w:tcPr>
            <w:tcW w:w="1985" w:type="dxa"/>
          </w:tcPr>
          <w:p w14:paraId="0623C361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2021.</w:t>
            </w:r>
          </w:p>
        </w:tc>
        <w:tc>
          <w:tcPr>
            <w:tcW w:w="2969" w:type="dxa"/>
          </w:tcPr>
          <w:p w14:paraId="250B264C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utvrđivanje vlasništva fizička osoba 2</w:t>
            </w:r>
          </w:p>
        </w:tc>
      </w:tr>
      <w:tr w:rsidR="00D949E2" w:rsidRPr="00BF0CF4" w14:paraId="309DC959" w14:textId="77777777" w:rsidTr="00FE3CDF">
        <w:tc>
          <w:tcPr>
            <w:tcW w:w="683" w:type="dxa"/>
          </w:tcPr>
          <w:p w14:paraId="35D4B771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5.</w:t>
            </w:r>
          </w:p>
        </w:tc>
        <w:tc>
          <w:tcPr>
            <w:tcW w:w="2402" w:type="dxa"/>
          </w:tcPr>
          <w:p w14:paraId="3C8E4876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Općinski sud u Zadru, P-3243/2019</w:t>
            </w:r>
          </w:p>
        </w:tc>
        <w:tc>
          <w:tcPr>
            <w:tcW w:w="2126" w:type="dxa"/>
          </w:tcPr>
          <w:p w14:paraId="397EAB9D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10.001,00 kn</w:t>
            </w:r>
          </w:p>
        </w:tc>
        <w:tc>
          <w:tcPr>
            <w:tcW w:w="1985" w:type="dxa"/>
          </w:tcPr>
          <w:p w14:paraId="4B8A6A38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2021.</w:t>
            </w:r>
          </w:p>
        </w:tc>
        <w:tc>
          <w:tcPr>
            <w:tcW w:w="2969" w:type="dxa"/>
          </w:tcPr>
          <w:p w14:paraId="1819CB6D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utvrđivanje vlasništva fizička osoba 4</w:t>
            </w:r>
          </w:p>
        </w:tc>
      </w:tr>
      <w:tr w:rsidR="00D949E2" w:rsidRPr="00BF0CF4" w14:paraId="4E512E9E" w14:textId="77777777" w:rsidTr="00FE3CDF">
        <w:tc>
          <w:tcPr>
            <w:tcW w:w="683" w:type="dxa"/>
          </w:tcPr>
          <w:p w14:paraId="30423060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6.</w:t>
            </w:r>
          </w:p>
        </w:tc>
        <w:tc>
          <w:tcPr>
            <w:tcW w:w="2402" w:type="dxa"/>
          </w:tcPr>
          <w:p w14:paraId="7646B2EE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Općinski sud u Zadru, P-3236/2019</w:t>
            </w:r>
          </w:p>
        </w:tc>
        <w:tc>
          <w:tcPr>
            <w:tcW w:w="2126" w:type="dxa"/>
          </w:tcPr>
          <w:p w14:paraId="114B4F6C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10.000,00 kn</w:t>
            </w:r>
          </w:p>
        </w:tc>
        <w:tc>
          <w:tcPr>
            <w:tcW w:w="1985" w:type="dxa"/>
          </w:tcPr>
          <w:p w14:paraId="11329890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2021.</w:t>
            </w:r>
          </w:p>
        </w:tc>
        <w:tc>
          <w:tcPr>
            <w:tcW w:w="2969" w:type="dxa"/>
          </w:tcPr>
          <w:p w14:paraId="5D1373E0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utvrđivanje vlasništva fizička osoba 3</w:t>
            </w:r>
          </w:p>
        </w:tc>
      </w:tr>
      <w:tr w:rsidR="00D949E2" w:rsidRPr="00BF0CF4" w14:paraId="213C9834" w14:textId="77777777" w:rsidTr="00FE3CDF">
        <w:tc>
          <w:tcPr>
            <w:tcW w:w="683" w:type="dxa"/>
          </w:tcPr>
          <w:p w14:paraId="1B763FDD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7.</w:t>
            </w:r>
          </w:p>
        </w:tc>
        <w:tc>
          <w:tcPr>
            <w:tcW w:w="2402" w:type="dxa"/>
          </w:tcPr>
          <w:p w14:paraId="227CBA4F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Upravni sud u Splitu, LJ34/18</w:t>
            </w:r>
          </w:p>
        </w:tc>
        <w:tc>
          <w:tcPr>
            <w:tcW w:w="2126" w:type="dxa"/>
          </w:tcPr>
          <w:p w14:paraId="260424F2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0,00</w:t>
            </w:r>
          </w:p>
        </w:tc>
        <w:tc>
          <w:tcPr>
            <w:tcW w:w="1985" w:type="dxa"/>
          </w:tcPr>
          <w:p w14:paraId="080A0CE4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2021.</w:t>
            </w:r>
          </w:p>
        </w:tc>
        <w:tc>
          <w:tcPr>
            <w:tcW w:w="2969" w:type="dxa"/>
          </w:tcPr>
          <w:p w14:paraId="049D4A6B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 xml:space="preserve">pravna osoba </w:t>
            </w:r>
          </w:p>
        </w:tc>
      </w:tr>
      <w:tr w:rsidR="00D949E2" w:rsidRPr="00BF0CF4" w14:paraId="1987A7E8" w14:textId="77777777" w:rsidTr="00FE3CDF">
        <w:tc>
          <w:tcPr>
            <w:tcW w:w="683" w:type="dxa"/>
          </w:tcPr>
          <w:p w14:paraId="2CA7D89C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8.</w:t>
            </w:r>
          </w:p>
        </w:tc>
        <w:tc>
          <w:tcPr>
            <w:tcW w:w="2402" w:type="dxa"/>
          </w:tcPr>
          <w:p w14:paraId="3E2DAAB8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Upravni sud u Splitu, USL-441/18</w:t>
            </w:r>
          </w:p>
          <w:p w14:paraId="78FB2AB5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2126" w:type="dxa"/>
          </w:tcPr>
          <w:p w14:paraId="56A26819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0,00</w:t>
            </w:r>
          </w:p>
        </w:tc>
        <w:tc>
          <w:tcPr>
            <w:tcW w:w="1985" w:type="dxa"/>
          </w:tcPr>
          <w:p w14:paraId="2F807B26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>2021.</w:t>
            </w:r>
          </w:p>
        </w:tc>
        <w:tc>
          <w:tcPr>
            <w:tcW w:w="2969" w:type="dxa"/>
          </w:tcPr>
          <w:p w14:paraId="6F012224" w14:textId="77777777" w:rsidR="00D949E2" w:rsidRPr="00D949E2" w:rsidRDefault="00D949E2" w:rsidP="00FE3CDF">
            <w:pPr>
              <w:jc w:val="both"/>
              <w:rPr>
                <w:rFonts w:ascii="Arial Narrow" w:hAnsi="Arial Narrow"/>
                <w:bCs/>
              </w:rPr>
            </w:pPr>
            <w:r w:rsidRPr="00D949E2">
              <w:rPr>
                <w:rFonts w:ascii="Arial Narrow" w:hAnsi="Arial Narrow"/>
                <w:bCs/>
              </w:rPr>
              <w:t xml:space="preserve">pravna osoba </w:t>
            </w:r>
          </w:p>
        </w:tc>
      </w:tr>
    </w:tbl>
    <w:p w14:paraId="0E7A139E" w14:textId="77777777" w:rsidR="00D949E2" w:rsidRPr="00D949E2" w:rsidRDefault="00D949E2" w:rsidP="00BE2C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1488D7F" w14:textId="77777777" w:rsidR="00F56B98" w:rsidRPr="00771F34" w:rsidRDefault="00F56B98" w:rsidP="00BE2CC8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676920E5" w14:textId="457BBEDF" w:rsidR="00F56B98" w:rsidRDefault="00F56B98" w:rsidP="00BE2CC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E3CAF">
        <w:rPr>
          <w:rFonts w:ascii="Arial Narrow" w:hAnsi="Arial Narrow"/>
          <w:b/>
          <w:sz w:val="24"/>
          <w:szCs w:val="24"/>
        </w:rPr>
        <w:t>Izvještaj o korištenju proračunske zalihe</w:t>
      </w:r>
    </w:p>
    <w:p w14:paraId="37563B44" w14:textId="77777777" w:rsidR="00FC76BF" w:rsidRPr="007E3CAF" w:rsidRDefault="00FC76BF" w:rsidP="00BE2CC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71FD046" w14:textId="3653F62F" w:rsidR="00F56B98" w:rsidRPr="007E3CAF" w:rsidRDefault="00F56B98" w:rsidP="00BE2CC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E3CAF">
        <w:rPr>
          <w:rFonts w:ascii="Arial Narrow" w:hAnsi="Arial Narrow"/>
          <w:sz w:val="24"/>
          <w:szCs w:val="24"/>
        </w:rPr>
        <w:t>Proračunska zaliha nije</w:t>
      </w:r>
      <w:r w:rsidR="007E3CAF">
        <w:rPr>
          <w:rFonts w:ascii="Arial Narrow" w:hAnsi="Arial Narrow"/>
          <w:sz w:val="24"/>
          <w:szCs w:val="24"/>
        </w:rPr>
        <w:t xml:space="preserve"> se</w:t>
      </w:r>
      <w:r w:rsidRPr="007E3CAF">
        <w:rPr>
          <w:rFonts w:ascii="Arial Narrow" w:hAnsi="Arial Narrow"/>
          <w:sz w:val="24"/>
          <w:szCs w:val="24"/>
        </w:rPr>
        <w:t xml:space="preserve"> koristila u 20</w:t>
      </w:r>
      <w:r w:rsidR="007E3CAF">
        <w:rPr>
          <w:rFonts w:ascii="Arial Narrow" w:hAnsi="Arial Narrow"/>
          <w:sz w:val="24"/>
          <w:szCs w:val="24"/>
        </w:rPr>
        <w:t>20</w:t>
      </w:r>
      <w:r w:rsidRPr="007E3CAF">
        <w:rPr>
          <w:rFonts w:ascii="Arial Narrow" w:hAnsi="Arial Narrow"/>
          <w:sz w:val="24"/>
          <w:szCs w:val="24"/>
        </w:rPr>
        <w:t>. godini.</w:t>
      </w:r>
    </w:p>
    <w:p w14:paraId="2A85FA87" w14:textId="77777777" w:rsidR="00F56B98" w:rsidRPr="00771F34" w:rsidRDefault="00F56B98" w:rsidP="00BE2CC8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</w:p>
    <w:p w14:paraId="70E8D280" w14:textId="022C79C5" w:rsidR="00F56B98" w:rsidRDefault="00F56B98" w:rsidP="00BE2CC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949E2">
        <w:rPr>
          <w:rFonts w:ascii="Arial Narrow" w:hAnsi="Arial Narrow"/>
          <w:b/>
          <w:sz w:val="24"/>
          <w:szCs w:val="24"/>
        </w:rPr>
        <w:t>Izvještaj o danim jamstvima</w:t>
      </w:r>
    </w:p>
    <w:p w14:paraId="7F483AC7" w14:textId="77777777" w:rsidR="00FC76BF" w:rsidRPr="00D949E2" w:rsidRDefault="00FC76BF" w:rsidP="00BE2CC8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2EE060F4" w14:textId="717DEF73" w:rsidR="0022370A" w:rsidRPr="00D949E2" w:rsidRDefault="0022370A" w:rsidP="00BE2C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D949E2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 xml:space="preserve">Općina Bibinje </w:t>
      </w:r>
      <w:r w:rsidR="00D949E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izdala </w:t>
      </w:r>
      <w:r w:rsidRPr="00D949E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je jamstvo trgovačkom društvu Bibinjac d.o.o. u 100% vlasništvu Općine za financiranje ulaganja i kupnju poslovnog objekta u iznosu od 7.500.000 kuna. Trgovačko društvo Bibinjac zadužilo se kod Zagrebačke banke d.d. u iznosu od 7.500.000 kuna uz kamatu od 1,85% na rok od 10 godina. Jamstvo je izdano po suglasnosti ministra financija od 27.06.2019. a datum realizacije jamstva je 2.7.2019.</w:t>
      </w:r>
      <w:r w:rsidR="00D949E2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E90A2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 2020. godini nije bilo izdanih jamstva. </w:t>
      </w:r>
    </w:p>
    <w:p w14:paraId="70F42C35" w14:textId="77777777" w:rsidR="0078715A" w:rsidRPr="00771F34" w:rsidRDefault="0078715A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</w:pPr>
    </w:p>
    <w:p w14:paraId="6250D69A" w14:textId="77777777" w:rsidR="0078715A" w:rsidRPr="00771F34" w:rsidRDefault="0078715A" w:rsidP="00E90A2B">
      <w:pPr>
        <w:spacing w:after="0" w:line="240" w:lineRule="auto"/>
        <w:ind w:left="720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tbl>
      <w:tblPr>
        <w:tblpPr w:leftFromText="180" w:rightFromText="180" w:vertAnchor="text" w:horzAnchor="page" w:tblpX="1" w:tblpY="539"/>
        <w:tblW w:w="13691" w:type="dxa"/>
        <w:tblLook w:val="04A0" w:firstRow="1" w:lastRow="0" w:firstColumn="1" w:lastColumn="0" w:noHBand="0" w:noVBand="1"/>
      </w:tblPr>
      <w:tblGrid>
        <w:gridCol w:w="442"/>
        <w:gridCol w:w="5388"/>
        <w:gridCol w:w="284"/>
        <w:gridCol w:w="819"/>
        <w:gridCol w:w="1161"/>
        <w:gridCol w:w="2033"/>
        <w:gridCol w:w="924"/>
        <w:gridCol w:w="1080"/>
        <w:gridCol w:w="1560"/>
      </w:tblGrid>
      <w:tr w:rsidR="00771F34" w:rsidRPr="00771F34" w14:paraId="3BDE2446" w14:textId="77777777" w:rsidTr="00AE55E0">
        <w:trPr>
          <w:trHeight w:val="420"/>
        </w:trPr>
        <w:tc>
          <w:tcPr>
            <w:tcW w:w="442" w:type="dxa"/>
            <w:noWrap/>
            <w:vAlign w:val="bottom"/>
          </w:tcPr>
          <w:p w14:paraId="5245BAC5" w14:textId="77777777" w:rsidR="0078715A" w:rsidRPr="00771F34" w:rsidRDefault="0078715A" w:rsidP="00BE2C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5388" w:type="dxa"/>
            <w:noWrap/>
            <w:vAlign w:val="bottom"/>
            <w:hideMark/>
          </w:tcPr>
          <w:p w14:paraId="0093B2E9" w14:textId="77777777" w:rsidR="0078715A" w:rsidRDefault="00AD1CCD" w:rsidP="00BE2C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eastAsia="hr-HR"/>
              </w:rPr>
              <w:t xml:space="preserve">                </w:t>
            </w:r>
          </w:p>
          <w:p w14:paraId="581AF5D3" w14:textId="215B5978" w:rsidR="00AE55E0" w:rsidRPr="00771F34" w:rsidRDefault="00AE55E0" w:rsidP="00BE2C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84" w:type="dxa"/>
            <w:noWrap/>
            <w:vAlign w:val="bottom"/>
          </w:tcPr>
          <w:p w14:paraId="1D558CD3" w14:textId="77777777" w:rsidR="0078715A" w:rsidRPr="00771F34" w:rsidRDefault="0078715A" w:rsidP="00BE2C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819" w:type="dxa"/>
            <w:noWrap/>
            <w:vAlign w:val="bottom"/>
          </w:tcPr>
          <w:p w14:paraId="76084714" w14:textId="77777777" w:rsidR="0078715A" w:rsidRPr="00771F34" w:rsidRDefault="0078715A" w:rsidP="00BE2C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161" w:type="dxa"/>
            <w:noWrap/>
            <w:vAlign w:val="bottom"/>
          </w:tcPr>
          <w:p w14:paraId="369BAE98" w14:textId="77777777" w:rsidR="0078715A" w:rsidRPr="00771F34" w:rsidRDefault="0078715A" w:rsidP="00BE2C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033" w:type="dxa"/>
          </w:tcPr>
          <w:p w14:paraId="0D85DF74" w14:textId="77777777" w:rsidR="0078715A" w:rsidRPr="00771F34" w:rsidRDefault="0078715A" w:rsidP="00BE2C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924" w:type="dxa"/>
            <w:noWrap/>
            <w:vAlign w:val="bottom"/>
          </w:tcPr>
          <w:p w14:paraId="63DA1DA2" w14:textId="77777777" w:rsidR="0078715A" w:rsidRPr="00771F34" w:rsidRDefault="0078715A" w:rsidP="00BE2C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noWrap/>
            <w:vAlign w:val="bottom"/>
          </w:tcPr>
          <w:p w14:paraId="41AFCE68" w14:textId="77777777" w:rsidR="0078715A" w:rsidRPr="00771F34" w:rsidRDefault="0078715A" w:rsidP="00BE2C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560" w:type="dxa"/>
            <w:noWrap/>
            <w:vAlign w:val="bottom"/>
          </w:tcPr>
          <w:p w14:paraId="108E3D9B" w14:textId="77777777" w:rsidR="0078715A" w:rsidRPr="00771F34" w:rsidRDefault="0078715A" w:rsidP="00BE2CC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FF0000"/>
                <w:sz w:val="24"/>
                <w:szCs w:val="24"/>
                <w:lang w:eastAsia="hr-HR"/>
              </w:rPr>
            </w:pPr>
          </w:p>
        </w:tc>
      </w:tr>
    </w:tbl>
    <w:p w14:paraId="218F05E4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1D36FC2E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6810BF0D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3ABEB641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004E520B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501A990B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43B7F7B6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306D5A3C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12B178EA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4DAED0A6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50C0ED44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0860D24F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5454D659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58DDE4D4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4F06BA59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22114F7C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136B4618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08FBCD26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11AC0F06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0BA6DE54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2E1CF535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63C8BB27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4B9F2557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44FAE565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5C43BABF" w14:textId="71837E9B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5C9CF7AB" w14:textId="0CD6429A" w:rsidR="002D1E8E" w:rsidRDefault="002D1E8E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12C5BB81" w14:textId="46B7081F" w:rsidR="002D1E8E" w:rsidRDefault="002D1E8E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76BF794E" w14:textId="77777777" w:rsidR="002D1E8E" w:rsidRDefault="002D1E8E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5C055A6D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25400160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3C606542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3FE557CA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42AF1085" w14:textId="77777777" w:rsidR="00AE55E0" w:rsidRDefault="00AE55E0" w:rsidP="00BE2CC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3FC9A3AA" w14:textId="77777777" w:rsidR="00F27200" w:rsidRPr="0078715A" w:rsidRDefault="00F27200" w:rsidP="00BE2CC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r-HR"/>
        </w:rPr>
      </w:pPr>
    </w:p>
    <w:tbl>
      <w:tblPr>
        <w:tblpPr w:leftFromText="180" w:rightFromText="180" w:vertAnchor="page" w:horzAnchor="margin" w:tblpXSpec="center" w:tblpY="4726"/>
        <w:tblW w:w="11590" w:type="dxa"/>
        <w:tblLayout w:type="fixed"/>
        <w:tblLook w:val="0000" w:firstRow="0" w:lastRow="0" w:firstColumn="0" w:lastColumn="0" w:noHBand="0" w:noVBand="0"/>
      </w:tblPr>
      <w:tblGrid>
        <w:gridCol w:w="595"/>
        <w:gridCol w:w="4090"/>
        <w:gridCol w:w="2339"/>
        <w:gridCol w:w="2017"/>
        <w:gridCol w:w="2549"/>
      </w:tblGrid>
      <w:tr w:rsidR="00FE3CDF" w:rsidRPr="007F5ECF" w14:paraId="3F1857A5" w14:textId="77777777" w:rsidTr="00FE3CDF">
        <w:trPr>
          <w:cantSplit/>
          <w:trHeight w:val="2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289C5BE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I</w:t>
            </w:r>
          </w:p>
        </w:tc>
        <w:tc>
          <w:tcPr>
            <w:tcW w:w="10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14:paraId="2A73FF5D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Podnositelj izvješća </w:t>
            </w:r>
            <w:r w:rsidRPr="007F5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županija/grad/općina</w:t>
            </w:r>
          </w:p>
        </w:tc>
      </w:tr>
      <w:tr w:rsidR="00FE3CDF" w:rsidRPr="007F5ECF" w14:paraId="1B0DCE02" w14:textId="77777777" w:rsidTr="00FE3CDF">
        <w:trPr>
          <w:trHeight w:val="25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72C03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0251C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Naziv JLP(R)S</w:t>
            </w:r>
          </w:p>
        </w:tc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CA1F4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OPĆINA BIBINJE</w:t>
            </w:r>
          </w:p>
        </w:tc>
      </w:tr>
      <w:tr w:rsidR="00FE3CDF" w:rsidRPr="007F5ECF" w14:paraId="67515422" w14:textId="77777777" w:rsidTr="00FE3CDF">
        <w:trPr>
          <w:cantSplit/>
          <w:trHeight w:val="2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BA4D753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10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14:paraId="7DE5789E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Podaci o </w:t>
            </w:r>
            <w:r w:rsidRPr="007F5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>davatelju kredita/zajma</w:t>
            </w:r>
          </w:p>
        </w:tc>
      </w:tr>
      <w:tr w:rsidR="00FE3CDF" w:rsidRPr="007F5ECF" w14:paraId="1B850338" w14:textId="77777777" w:rsidTr="00FE3CDF">
        <w:trPr>
          <w:trHeight w:val="63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59D9B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C0372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 xml:space="preserve">Naziv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D18D5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ADDIKO BANK</w:t>
            </w:r>
          </w:p>
          <w:p w14:paraId="261E9D4A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D.D.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4E7A9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ADDIKO BANK</w:t>
            </w:r>
          </w:p>
          <w:p w14:paraId="28B83F0C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D.D.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848E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ZAGREBAČKA BANKA D.D.</w:t>
            </w:r>
          </w:p>
        </w:tc>
      </w:tr>
      <w:tr w:rsidR="00FE3CDF" w:rsidRPr="00724FA4" w14:paraId="26294A6F" w14:textId="77777777" w:rsidTr="00FE3CDF">
        <w:trPr>
          <w:trHeight w:val="45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947B2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05507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Adresa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AAD74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SLAONSKA AVENIJA 6, ZAGREB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D3904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SLAVONSKA AVENIJA 6, ZAGREB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154A7" w14:textId="77777777" w:rsidR="00FE3CDF" w:rsidRPr="00724FA4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24FA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TRG BANA JOSIPA JELAČIĆA 10, ZAGREB</w:t>
            </w:r>
          </w:p>
        </w:tc>
      </w:tr>
      <w:tr w:rsidR="00FE3CDF" w:rsidRPr="007F5ECF" w14:paraId="5EEABB93" w14:textId="77777777" w:rsidTr="00FE3CDF">
        <w:trPr>
          <w:cantSplit/>
          <w:trHeight w:val="2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9194DE8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III</w:t>
            </w:r>
          </w:p>
        </w:tc>
        <w:tc>
          <w:tcPr>
            <w:tcW w:w="10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14:paraId="7ACE7EFD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Podaci o</w:t>
            </w:r>
            <w:r w:rsidRPr="007F5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ar-SA"/>
              </w:rPr>
              <w:t xml:space="preserve"> zaduženju/jamstvu/suglasnosti</w:t>
            </w:r>
          </w:p>
        </w:tc>
      </w:tr>
      <w:tr w:rsidR="00FE3CDF" w:rsidRPr="007F5ECF" w14:paraId="55896301" w14:textId="77777777" w:rsidTr="00FE3CDF">
        <w:trPr>
          <w:trHeight w:val="77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AE66B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685E9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Vrsta zaduženja</w:t>
            </w:r>
          </w:p>
          <w:p w14:paraId="06DC4358" w14:textId="77777777" w:rsidR="00FE3CDF" w:rsidRPr="007F5ECF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(nepotrebno precrtati)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038A5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a) zaduženje </w:t>
            </w:r>
          </w:p>
          <w:p w14:paraId="4859FC31" w14:textId="77777777" w:rsidR="00FE3CDF" w:rsidRPr="007F5ECF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Cs/>
                <w:lang w:eastAsia="ar-SA"/>
              </w:rPr>
              <w:t>b) jamstvo</w:t>
            </w:r>
            <w:r w:rsidRPr="007F5EC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>*1</w:t>
            </w:r>
          </w:p>
          <w:p w14:paraId="3F2CAD02" w14:textId="77777777" w:rsidR="00FE3CDF" w:rsidRPr="007F5ECF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Cs/>
                <w:lang w:eastAsia="ar-SA"/>
              </w:rPr>
              <w:t>c) suglasnost</w:t>
            </w:r>
            <w:r w:rsidRPr="007F5EC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>*2</w:t>
            </w:r>
            <w:r w:rsidRPr="007F5ECF">
              <w:rPr>
                <w:rFonts w:ascii="Times New Roman" w:eastAsia="Times New Roman" w:hAnsi="Times New Roman" w:cs="Times New Roman"/>
                <w:b/>
                <w:sz w:val="32"/>
                <w:szCs w:val="28"/>
                <w:vertAlign w:val="superscript"/>
                <w:lang w:eastAsia="ar-SA"/>
              </w:rPr>
              <w:t xml:space="preserve">         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5EAF6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a) zaduženje </w:t>
            </w:r>
          </w:p>
          <w:p w14:paraId="0843B2EA" w14:textId="77777777" w:rsidR="00FE3CDF" w:rsidRPr="007F5ECF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Cs/>
                <w:lang w:eastAsia="ar-SA"/>
              </w:rPr>
              <w:t>b) jamstvo</w:t>
            </w:r>
            <w:r w:rsidRPr="007F5EC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>*1</w:t>
            </w:r>
          </w:p>
          <w:p w14:paraId="283382CA" w14:textId="77777777" w:rsidR="00FE3CDF" w:rsidRPr="007F5ECF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Cs/>
                <w:lang w:eastAsia="ar-SA"/>
              </w:rPr>
              <w:t>c) suglasnost</w:t>
            </w:r>
            <w:r w:rsidRPr="007F5EC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>*2</w:t>
            </w:r>
            <w:r w:rsidRPr="007F5ECF">
              <w:rPr>
                <w:rFonts w:ascii="Times New Roman" w:eastAsia="Times New Roman" w:hAnsi="Times New Roman" w:cs="Times New Roman"/>
                <w:b/>
                <w:sz w:val="32"/>
                <w:szCs w:val="28"/>
                <w:vertAlign w:val="superscript"/>
                <w:lang w:eastAsia="ar-SA"/>
              </w:rPr>
              <w:t xml:space="preserve">         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D59AC" w14:textId="77777777" w:rsidR="00FE3CDF" w:rsidRPr="00FF201C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F201C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a) zaduženje </w:t>
            </w:r>
          </w:p>
          <w:p w14:paraId="75D5F09A" w14:textId="77777777" w:rsidR="00FE3CDF" w:rsidRPr="00FF201C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FF201C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b) jamstvo</w:t>
            </w:r>
            <w:r w:rsidRPr="00FF201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>*1</w:t>
            </w:r>
          </w:p>
          <w:p w14:paraId="2B7C2AF9" w14:textId="77777777" w:rsidR="00FE3CDF" w:rsidRPr="007F5ECF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Cs/>
                <w:lang w:eastAsia="ar-SA"/>
              </w:rPr>
              <w:t>c) suglasnost</w:t>
            </w:r>
            <w:r w:rsidRPr="007F5EC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ar-SA"/>
              </w:rPr>
              <w:t>*2</w:t>
            </w:r>
            <w:r w:rsidRPr="007F5ECF">
              <w:rPr>
                <w:rFonts w:ascii="Times New Roman" w:eastAsia="Times New Roman" w:hAnsi="Times New Roman" w:cs="Times New Roman"/>
                <w:b/>
                <w:sz w:val="32"/>
                <w:szCs w:val="28"/>
                <w:vertAlign w:val="superscript"/>
                <w:lang w:eastAsia="ar-SA"/>
              </w:rPr>
              <w:t xml:space="preserve">          </w:t>
            </w:r>
          </w:p>
        </w:tc>
      </w:tr>
      <w:tr w:rsidR="00FE3CDF" w:rsidRPr="007F5ECF" w14:paraId="3D09C12D" w14:textId="77777777" w:rsidTr="00FE3CDF">
        <w:trPr>
          <w:trHeight w:val="46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80152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7661A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Namjena</w:t>
            </w:r>
            <w:r w:rsidRPr="007F5ECF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*4</w:t>
            </w:r>
          </w:p>
          <w:p w14:paraId="1824DFF2" w14:textId="77777777" w:rsidR="00FE3CDF" w:rsidRPr="007F5ECF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FFAFD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 xml:space="preserve">Investicija - </w:t>
            </w:r>
            <w:proofErr w:type="spellStart"/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izmještaj</w:t>
            </w:r>
            <w:proofErr w:type="spellEnd"/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 xml:space="preserve"> dalekovoda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C9EF7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Poboljšanje likvidnosti – kratkoročno zaduživanje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4883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Financiranje ulaganja za kupnju i uređenje poslovnog objekta</w:t>
            </w:r>
          </w:p>
        </w:tc>
      </w:tr>
      <w:tr w:rsidR="00FE3CDF" w:rsidRPr="007F5ECF" w14:paraId="5427C532" w14:textId="77777777" w:rsidTr="00FE3CDF">
        <w:trPr>
          <w:trHeight w:val="2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4B14B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24AD5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MB (dodjeljuje MF)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DBD40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FB12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9AB92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FE3CDF" w:rsidRPr="007F5ECF" w14:paraId="1043F4BE" w14:textId="77777777" w:rsidTr="00FE3CDF">
        <w:trPr>
          <w:trHeight w:val="49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5021B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4.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E91B6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Korisnik kredita(zajma)/jamstva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8CD08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OPĆINA BIBINJE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E848B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OPĆINA BIBINJE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C421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FF201C">
              <w:rPr>
                <w:rFonts w:ascii="Times New Roman" w:eastAsia="Times New Roman" w:hAnsi="Times New Roman" w:cs="Times New Roman"/>
                <w:lang w:eastAsia="ar-SA"/>
              </w:rPr>
              <w:t>BIBINJAC D.O.O.</w:t>
            </w:r>
          </w:p>
        </w:tc>
      </w:tr>
      <w:tr w:rsidR="00FE3CDF" w:rsidRPr="007F5ECF" w14:paraId="33782D17" w14:textId="77777777" w:rsidTr="00FE3CDF">
        <w:trPr>
          <w:trHeight w:val="2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0CCD5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5.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EB683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 xml:space="preserve">Ukupan iznos kredita(zajma)/jamstva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C7CBC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4.000.000,00 kn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49F42A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1.200.000,00 kn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CE1E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7.500.000,00 kn</w:t>
            </w:r>
          </w:p>
        </w:tc>
      </w:tr>
      <w:tr w:rsidR="00FE3CDF" w:rsidRPr="007F5ECF" w14:paraId="28F1A54E" w14:textId="77777777" w:rsidTr="00FE3CDF">
        <w:trPr>
          <w:trHeight w:val="2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69D2E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8AEAD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Iskorišteni iznos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1E8D4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4.000.000,00 kn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DFFE1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1.200.000,00 kn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4609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7.500.000,00 kn</w:t>
            </w:r>
          </w:p>
        </w:tc>
      </w:tr>
      <w:tr w:rsidR="00FE3CDF" w:rsidRPr="007F5ECF" w14:paraId="6E688CA1" w14:textId="77777777" w:rsidTr="00FE3CDF">
        <w:trPr>
          <w:trHeight w:val="2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F799A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8E1BC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Iznos glavnice (u kn)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8CC81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4.000.000,00 kn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A3739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1.200.000,00 kn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4EB0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7.500.000,00 kn</w:t>
            </w:r>
          </w:p>
        </w:tc>
      </w:tr>
      <w:tr w:rsidR="00FE3CDF" w:rsidRPr="007F5ECF" w14:paraId="7DD91C0F" w14:textId="77777777" w:rsidTr="00FE3CDF">
        <w:trPr>
          <w:trHeight w:val="2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7DC66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8.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EFBB6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Iznos kamata (u kn)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B59F8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904.004,44 kn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76BAA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17.888,00</w:t>
            </w: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 xml:space="preserve"> kn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3A3D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962.624,15 kn</w:t>
            </w:r>
          </w:p>
        </w:tc>
      </w:tr>
      <w:tr w:rsidR="00FE3CDF" w:rsidRPr="007F5ECF" w14:paraId="11B3487C" w14:textId="77777777" w:rsidTr="00FE3CDF">
        <w:trPr>
          <w:trHeight w:val="33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66CDB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AB559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Kamatna stopa - ugovorena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BDC1E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3,85%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83AFF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3,2</w:t>
            </w: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2925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1,85%</w:t>
            </w:r>
          </w:p>
        </w:tc>
      </w:tr>
      <w:tr w:rsidR="00FE3CDF" w:rsidRPr="007F5ECF" w14:paraId="0025C593" w14:textId="77777777" w:rsidTr="00FE3CDF">
        <w:trPr>
          <w:trHeight w:val="2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080EF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10.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F1A08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Ostali troškovi kredita(zajma) (u kn)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66A25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32.000,00 kn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2BAA0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3.600,00</w:t>
            </w: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 xml:space="preserve"> kn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53E8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11.250,00 kn</w:t>
            </w:r>
          </w:p>
        </w:tc>
      </w:tr>
      <w:tr w:rsidR="00FE3CDF" w:rsidRPr="007F5ECF" w14:paraId="58802021" w14:textId="77777777" w:rsidTr="00FE3CDF">
        <w:trPr>
          <w:trHeight w:val="2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94728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11.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BB090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Broj anuiteta godišnje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13CCF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6A964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3325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</w:tr>
      <w:tr w:rsidR="00FE3CDF" w:rsidRPr="007F5ECF" w14:paraId="5E314911" w14:textId="77777777" w:rsidTr="00FE3CDF">
        <w:trPr>
          <w:trHeight w:val="3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D7E69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12.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7559E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Rok otplate (bez počeka)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4F35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9 godina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A907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10 mjeseci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4649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02.06.2031.</w:t>
            </w:r>
          </w:p>
        </w:tc>
      </w:tr>
      <w:tr w:rsidR="00FE3CDF" w:rsidRPr="007F5ECF" w14:paraId="2B4BABC0" w14:textId="77777777" w:rsidTr="00FE3CDF">
        <w:trPr>
          <w:trHeight w:val="26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CF642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13.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FF6BB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Razdoblje počeka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9129D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 godina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BF117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FA4F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 mj.</w:t>
            </w:r>
          </w:p>
        </w:tc>
      </w:tr>
      <w:tr w:rsidR="00FE3CDF" w:rsidRPr="007F5ECF" w14:paraId="522CBC96" w14:textId="77777777" w:rsidTr="00FE3CDF">
        <w:trPr>
          <w:trHeight w:val="50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8B2C1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14.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4CF7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 xml:space="preserve">Otplaćeno glavnice (u kn)                     </w:t>
            </w:r>
          </w:p>
          <w:p w14:paraId="409B51B5" w14:textId="77777777" w:rsidR="00FE3CDF" w:rsidRPr="007F5ECF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(do datuma podnošenja izvješća)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A6C84" w14:textId="77777777" w:rsidR="00FE3CDF" w:rsidRPr="007F5ECF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3.000.000,24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1BCAD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1.200.000,00 </w:t>
            </w: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kn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FF95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0,00 kn</w:t>
            </w:r>
          </w:p>
        </w:tc>
      </w:tr>
      <w:tr w:rsidR="00FE3CDF" w:rsidRPr="007F5ECF" w14:paraId="5F721EBD" w14:textId="77777777" w:rsidTr="00FE3CDF">
        <w:trPr>
          <w:trHeight w:val="48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BAEF2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15.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33556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 xml:space="preserve">Otplaćeno  kamata (u kn)                     </w:t>
            </w:r>
          </w:p>
          <w:p w14:paraId="4FA1D94A" w14:textId="77777777" w:rsidR="00FE3CDF" w:rsidRPr="007F5ECF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(do datuma podnošenja izvješća)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9DCCE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834.654,01</w:t>
            </w: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 xml:space="preserve"> kn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8740B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17.888,00 </w:t>
            </w: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kn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8C675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193.454,45 kn</w:t>
            </w:r>
          </w:p>
        </w:tc>
      </w:tr>
      <w:tr w:rsidR="00FE3CDF" w:rsidRPr="007F5ECF" w14:paraId="75537A96" w14:textId="77777777" w:rsidTr="00FE3CDF">
        <w:trPr>
          <w:trHeight w:val="31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2741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16.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8C65A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Ostalo za otplatu (glavnice - u kn)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E2716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999.999,76</w:t>
            </w: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kn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E6044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 xml:space="preserve"> kn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F268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7.500.000,00 kn</w:t>
            </w:r>
          </w:p>
        </w:tc>
      </w:tr>
      <w:tr w:rsidR="00FE3CDF" w:rsidRPr="004370B7" w14:paraId="12DBBF42" w14:textId="77777777" w:rsidTr="00FE3CDF">
        <w:trPr>
          <w:trHeight w:val="27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2C188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17.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74DC0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Aktivirano jamstvo</w:t>
            </w:r>
            <w:r w:rsidRPr="007F5ECF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ECCAA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E70CC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102F" w14:textId="77777777" w:rsidR="00FE3CDF" w:rsidRPr="004370B7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370B7">
              <w:rPr>
                <w:rFonts w:ascii="Times New Roman" w:eastAsia="Times New Roman" w:hAnsi="Times New Roman" w:cs="Times New Roman"/>
                <w:lang w:eastAsia="ar-SA"/>
              </w:rPr>
              <w:t>Općina Bibinje</w:t>
            </w:r>
          </w:p>
        </w:tc>
      </w:tr>
      <w:tr w:rsidR="00FE3CDF" w:rsidRPr="007F5ECF" w14:paraId="1D6DAB52" w14:textId="77777777" w:rsidTr="00FE3CDF">
        <w:trPr>
          <w:trHeight w:val="48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4F4E9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18.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F62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Datum realizacije (kredita/zajma) / izdavanja (jamstva</w:t>
            </w:r>
            <w:r w:rsidRPr="007F5ECF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*1</w:t>
            </w: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, suglasnosti za zaduženje</w:t>
            </w:r>
            <w:r w:rsidRPr="007F5ECF">
              <w:rPr>
                <w:rFonts w:ascii="Times New Roman" w:eastAsia="Times New Roman" w:hAnsi="Times New Roman" w:cs="Times New Roman"/>
                <w:vertAlign w:val="superscript"/>
                <w:lang w:eastAsia="ar-SA"/>
              </w:rPr>
              <w:t>*2</w:t>
            </w: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63A0B" w14:textId="77777777" w:rsidR="00FE3CDF" w:rsidRPr="007F5ECF" w:rsidRDefault="00FE3CDF" w:rsidP="00FE3C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27.03.2013.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D90DD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14.02.</w:t>
            </w:r>
            <w:r w:rsidRPr="001B2EE7">
              <w:rPr>
                <w:rFonts w:ascii="Times New Roman" w:eastAsia="Times New Roman" w:hAnsi="Times New Roman" w:cs="Times New Roman"/>
                <w:i/>
                <w:lang w:eastAsia="ar-SA"/>
              </w:rPr>
              <w:t>2020</w:t>
            </w: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3219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02.07.2019.</w:t>
            </w:r>
          </w:p>
        </w:tc>
      </w:tr>
      <w:tr w:rsidR="00FE3CDF" w:rsidRPr="007F5ECF" w14:paraId="1BFE60A4" w14:textId="77777777" w:rsidTr="00FE3CDF">
        <w:trPr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23226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19.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A889C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Datum/godina odobrenja/suglasnosti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7BA56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25.10.2012.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46423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5ECF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65F7" w14:textId="77777777" w:rsidR="00FE3CDF" w:rsidRPr="007F5ECF" w:rsidRDefault="00FE3CDF" w:rsidP="00FE3C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27.06.2019.</w:t>
            </w:r>
          </w:p>
        </w:tc>
      </w:tr>
    </w:tbl>
    <w:p w14:paraId="7DF1FEB6" w14:textId="47C58E58" w:rsidR="00AE55E0" w:rsidRDefault="00AE55E0" w:rsidP="00FE3CDF">
      <w:pPr>
        <w:rPr>
          <w:rFonts w:ascii="Calibri" w:hAnsi="Calibri"/>
          <w:sz w:val="24"/>
          <w:szCs w:val="24"/>
        </w:rPr>
      </w:pPr>
    </w:p>
    <w:p w14:paraId="51B72955" w14:textId="77777777" w:rsidR="00AE55E0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7E3CAF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Izvještaj o vlasničkim udjelima</w:t>
      </w:r>
    </w:p>
    <w:p w14:paraId="7AB991D2" w14:textId="77777777" w:rsidR="00AE55E0" w:rsidRPr="007E3CAF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464F528B" w14:textId="77777777" w:rsidR="002D1E8E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  <w:r w:rsidRPr="007E3CA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U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2020</w:t>
      </w:r>
      <w:r w:rsidRPr="007E3CAF">
        <w:rPr>
          <w:rFonts w:ascii="Arial Narrow" w:eastAsia="Times New Roman" w:hAnsi="Arial Narrow" w:cs="Times New Roman"/>
          <w:sz w:val="24"/>
          <w:szCs w:val="24"/>
          <w:lang w:eastAsia="hr-HR"/>
        </w:rPr>
        <w:t>. godin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i</w:t>
      </w:r>
      <w:r w:rsidRPr="007E3CAF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nije bilo promjene u udjelima u trgovačkim poduzećima i ustanovama u vlasništvu Općine Bibinje.</w:t>
      </w:r>
      <w:r w:rsidRPr="007E3CAF"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 w:rsidRPr="00771F34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ab/>
      </w:r>
    </w:p>
    <w:p w14:paraId="3C1C0D5D" w14:textId="2E45C97B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  <w:r w:rsidRPr="00771F34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ab/>
      </w:r>
      <w:r w:rsidRPr="00771F34"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  <w:tab/>
      </w:r>
    </w:p>
    <w:p w14:paraId="04579041" w14:textId="77777777" w:rsidR="002D1E8E" w:rsidRPr="00AE55E0" w:rsidRDefault="002D1E8E" w:rsidP="002D1E8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E90A2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Izvještaj o zaduživanju na domaćem i stranom tržištu</w:t>
      </w:r>
    </w:p>
    <w:p w14:paraId="1B398E2A" w14:textId="6C1E76AF" w:rsidR="00AE55E0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67BC0FC2" w14:textId="77777777" w:rsidR="002D1E8E" w:rsidRPr="00771F34" w:rsidRDefault="002D1E8E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0A0FB1E2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POSEBAN DIO PRORAČUNA</w:t>
      </w:r>
    </w:p>
    <w:p w14:paraId="1727EFAA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14:paraId="722207F3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>Poseban dio Proračuna Općine Bibinje sastoji se od dva razdjela i šest glava.</w:t>
      </w:r>
    </w:p>
    <w:p w14:paraId="1E97E227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82"/>
        <w:gridCol w:w="50"/>
        <w:gridCol w:w="236"/>
        <w:gridCol w:w="1240"/>
        <w:gridCol w:w="1244"/>
        <w:gridCol w:w="1210"/>
      </w:tblGrid>
      <w:tr w:rsidR="00AE55E0" w:rsidRPr="00771F34" w14:paraId="6C7ED540" w14:textId="77777777" w:rsidTr="00600D01">
        <w:trPr>
          <w:trHeight w:val="300"/>
        </w:trPr>
        <w:tc>
          <w:tcPr>
            <w:tcW w:w="2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CBA2CC" w14:textId="77777777" w:rsidR="00AE55E0" w:rsidRPr="00FF408B" w:rsidRDefault="00AE55E0" w:rsidP="00600D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POSEBNI DIO IZVRŠENJE PREMA ORGANIZACIJSKOJ KLASIFIKACIJI </w:t>
            </w:r>
          </w:p>
        </w:tc>
        <w:tc>
          <w:tcPr>
            <w:tcW w:w="8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4186" w14:textId="368050B3" w:rsidR="00AE55E0" w:rsidRPr="00FF408B" w:rsidRDefault="00AE55E0" w:rsidP="00600D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Izvorni plan 20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20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B494" w14:textId="55F1C6A4" w:rsidR="00AE55E0" w:rsidRPr="00FF408B" w:rsidRDefault="00AE55E0" w:rsidP="00600D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Izvršenje 20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20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7832" w14:textId="77777777" w:rsidR="00AE55E0" w:rsidRPr="00FF408B" w:rsidRDefault="00AE55E0" w:rsidP="00600D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Indeks</w:t>
            </w:r>
          </w:p>
        </w:tc>
      </w:tr>
      <w:tr w:rsidR="00AE55E0" w:rsidRPr="00771F34" w14:paraId="757FE488" w14:textId="77777777" w:rsidTr="00600D01">
        <w:trPr>
          <w:trHeight w:val="300"/>
        </w:trPr>
        <w:tc>
          <w:tcPr>
            <w:tcW w:w="2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7F634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</w:p>
        </w:tc>
        <w:tc>
          <w:tcPr>
            <w:tcW w:w="8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0FC5" w14:textId="77777777" w:rsidR="00AE55E0" w:rsidRPr="00FF408B" w:rsidRDefault="00AE55E0" w:rsidP="00600D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BB1A" w14:textId="77777777" w:rsidR="00AE55E0" w:rsidRPr="00FF408B" w:rsidRDefault="00AE55E0" w:rsidP="00600D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B9AD" w14:textId="77777777" w:rsidR="00AE55E0" w:rsidRPr="00FF408B" w:rsidRDefault="00AE55E0" w:rsidP="00600D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2/1</w:t>
            </w:r>
          </w:p>
        </w:tc>
      </w:tr>
      <w:tr w:rsidR="00AE55E0" w:rsidRPr="00771F34" w14:paraId="1AD68414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F2892" w14:textId="77777777" w:rsidR="00AE55E0" w:rsidRPr="00FF408B" w:rsidRDefault="00AE55E0" w:rsidP="00600D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449EC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4B741" w14:textId="77777777" w:rsidR="00AE55E0" w:rsidRPr="00FF408B" w:rsidRDefault="00AE55E0" w:rsidP="00600D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70E42" w14:textId="77777777" w:rsidR="00AE55E0" w:rsidRPr="00FF408B" w:rsidRDefault="00AE55E0" w:rsidP="00600D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C50F" w14:textId="77777777" w:rsidR="00AE55E0" w:rsidRPr="00FF408B" w:rsidRDefault="00AE55E0" w:rsidP="00600D0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</w:tr>
      <w:tr w:rsidR="00AE55E0" w:rsidRPr="00771F34" w14:paraId="652340FB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AC84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RAZDJEL    010    PREDSTAVNIČKA I IZVRŠNA TIJELA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05BE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0FEE" w14:textId="5A67D9DE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108.800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095B" w14:textId="1E909880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96.496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D77B" w14:textId="51489896" w:rsidR="00AE55E0" w:rsidRPr="00FF408B" w:rsidRDefault="00FF408B" w:rsidP="00600D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88,69</w:t>
            </w:r>
          </w:p>
        </w:tc>
      </w:tr>
      <w:tr w:rsidR="00AE55E0" w:rsidRPr="00771F34" w14:paraId="25649921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0B8F9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4EF7E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46FBE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FA3FD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0431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</w:tr>
      <w:tr w:rsidR="00AE55E0" w:rsidRPr="00771F34" w14:paraId="0CE71B78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4BDA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GLAVA    010-01    PREDSTAVNIČKA I IZVRŠNA TIJELA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9AE6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45F1" w14:textId="41F2796D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108.800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06F8" w14:textId="39086BA3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96.496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1875" w14:textId="7B139509" w:rsidR="00AE55E0" w:rsidRPr="00FF408B" w:rsidRDefault="00FF408B" w:rsidP="00600D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88,69</w:t>
            </w:r>
          </w:p>
        </w:tc>
      </w:tr>
      <w:tr w:rsidR="00AE55E0" w:rsidRPr="00771F34" w14:paraId="2801C70C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91B4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6853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325D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D727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C3F2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</w:tr>
      <w:tr w:rsidR="00AE55E0" w:rsidRPr="00771F34" w14:paraId="57B3E0E0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F0AC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RAZDJEL    020    JEDINSTVENI UPRAVNI ODJEL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E41B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AFAF" w14:textId="70A082D4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14.641.539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982D" w14:textId="6B1608CF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14.313.644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DAC1" w14:textId="0C158D03" w:rsidR="00AE55E0" w:rsidRPr="00FF408B" w:rsidRDefault="00FF408B" w:rsidP="00600D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97,76</w:t>
            </w:r>
          </w:p>
        </w:tc>
      </w:tr>
      <w:tr w:rsidR="00AE55E0" w:rsidRPr="00771F34" w14:paraId="22AC2F60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6C525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5F921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334E9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1CB41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32CA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</w:tr>
      <w:tr w:rsidR="00AE55E0" w:rsidRPr="00771F34" w14:paraId="746FA5AB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4500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GLAVA    020-01    JEDINSTVENI UPRAVNI ODJEL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E3A5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1831" w14:textId="0DFF08E2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3.366.908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F52D" w14:textId="26A949F4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3.214.258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B669" w14:textId="0366B1B8" w:rsidR="00AE55E0" w:rsidRPr="00FF408B" w:rsidRDefault="00FF408B" w:rsidP="00600D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95,47</w:t>
            </w:r>
          </w:p>
        </w:tc>
      </w:tr>
      <w:tr w:rsidR="00AE55E0" w:rsidRPr="00771F34" w14:paraId="545625ED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94EB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GLAVA    020-02    VATROGASTVO I CIVILNA ZAŠTITA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E8B1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A8BE" w14:textId="044CA36F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1.047.866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3DB7" w14:textId="23CEC8D2" w:rsidR="00AE55E0" w:rsidRPr="00FF408B" w:rsidRDefault="00FF408B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1.088.719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7443" w14:textId="19AE256A" w:rsidR="00AE55E0" w:rsidRPr="00FF408B" w:rsidRDefault="00FF408B" w:rsidP="00600D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103,90</w:t>
            </w:r>
          </w:p>
        </w:tc>
      </w:tr>
      <w:tr w:rsidR="00AE55E0" w:rsidRPr="00771F34" w14:paraId="15F3320F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CB0B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GLAVA    020-03    KOMUNALNA INFRASTRUKTURA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2596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B4FF" w14:textId="287C2B0E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6.661.233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7BBE" w14:textId="67EC27F3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6.486.083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1173" w14:textId="5B3B4D55" w:rsidR="00AE55E0" w:rsidRPr="00FF408B" w:rsidRDefault="00FF408B" w:rsidP="00600D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98,08</w:t>
            </w:r>
          </w:p>
        </w:tc>
      </w:tr>
      <w:tr w:rsidR="00AE55E0" w:rsidRPr="00771F34" w14:paraId="39E1078A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35A7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GLAVA    020-04    ŠKOLSTVO, PREDŠKOLSKI ODGOJ I NAOBRAZBA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1718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BE0" w14:textId="16D99C6D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1.569.168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5725" w14:textId="1E639BF1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1.538.143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6F5" w14:textId="6F599C88" w:rsidR="00AE55E0" w:rsidRPr="00FF408B" w:rsidRDefault="00FF408B" w:rsidP="00600D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98,02</w:t>
            </w:r>
          </w:p>
        </w:tc>
      </w:tr>
      <w:tr w:rsidR="00AE55E0" w:rsidRPr="00771F34" w14:paraId="5BE11B60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1E5D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GLAVA    020-05    PROGRAMSKA DJELATNOST KULTURE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9879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26C2" w14:textId="75E8753E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48.184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C148" w14:textId="05E6ABC5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48.184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DB13" w14:textId="07FB6A0A" w:rsidR="00AE55E0" w:rsidRPr="00FF408B" w:rsidRDefault="00FF408B" w:rsidP="00600D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100,00</w:t>
            </w:r>
          </w:p>
        </w:tc>
      </w:tr>
      <w:tr w:rsidR="00AE55E0" w:rsidRPr="00771F34" w14:paraId="107284B9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29E8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GLAVA    020-06    PROGRAMSKA DJELATNOST SPORTA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A908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8C7F" w14:textId="71A0EF2F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417.500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AFE3" w14:textId="3330FC5D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402.500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89CD" w14:textId="7F0CA48F" w:rsidR="00AE55E0" w:rsidRPr="00FF408B" w:rsidRDefault="00FF408B" w:rsidP="00600D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96,41</w:t>
            </w:r>
          </w:p>
        </w:tc>
      </w:tr>
      <w:tr w:rsidR="00AE55E0" w:rsidRPr="00771F34" w14:paraId="6E096F4E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5B71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GLAVA    020-07    PROGRAMSKA DJELATNOST SOC. SKRBI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B44C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B4ED" w14:textId="0CF12AB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1.510.758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E8D3" w14:textId="6BB5D329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1.467.836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C2E4" w14:textId="48E699D8" w:rsidR="00AE55E0" w:rsidRPr="00FF408B" w:rsidRDefault="00FF408B" w:rsidP="00600D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97,16</w:t>
            </w:r>
          </w:p>
        </w:tc>
      </w:tr>
      <w:tr w:rsidR="00AE55E0" w:rsidRPr="00771F34" w14:paraId="2ED19EDB" w14:textId="77777777" w:rsidTr="00600D01">
        <w:trPr>
          <w:trHeight w:val="300"/>
        </w:trPr>
        <w:tc>
          <w:tcPr>
            <w:tcW w:w="28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F24D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GLAVA    020-09    PROGRAMSKA DJELATNOST TURIZMA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74A0" w14:textId="77777777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F352" w14:textId="153FBFBB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67.922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586C" w14:textId="79A559D0" w:rsidR="00AE55E0" w:rsidRPr="00FF408B" w:rsidRDefault="00AE55E0" w:rsidP="00600D01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            </w:t>
            </w:r>
            <w:r w:rsid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67.921</w:t>
            </w:r>
            <w:r w:rsidRPr="00FF408B"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 xml:space="preserve">    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F396" w14:textId="5D24E6AA" w:rsidR="00AE55E0" w:rsidRPr="00FF408B" w:rsidRDefault="00FF408B" w:rsidP="00600D0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  <w:lang w:eastAsia="hr-HR"/>
              </w:rPr>
              <w:t>100,00</w:t>
            </w:r>
          </w:p>
        </w:tc>
      </w:tr>
    </w:tbl>
    <w:p w14:paraId="3AC7F779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246DB47A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Razdjel 010 Predstavnička i izvršna tijela</w:t>
      </w:r>
    </w:p>
    <w:p w14:paraId="1FB165CB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Glava 010-01 Predstavnička i izvršna tijela </w:t>
      </w:r>
      <w:r w:rsidRPr="00771F34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  <w:tab/>
      </w:r>
    </w:p>
    <w:p w14:paraId="739ADC6F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</w:pPr>
    </w:p>
    <w:p w14:paraId="1707774D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Glava Predstavnička i izvršna tijela osigurava rad predstavničkog tijela, pokroviteljstvo političkih stranka te pripremu i organiziranje obilježavanja dana Općine Bibinje te drugih obljetnica praznika i blagdana. </w:t>
      </w:r>
    </w:p>
    <w:p w14:paraId="14788AE2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>Glava Predstavnička i izvršna tijela sastoji se od dva programa:</w:t>
      </w:r>
    </w:p>
    <w:p w14:paraId="30BF7FCE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3D96BE4E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Program 1001 Predstavnička i izvršna tijela</w:t>
      </w:r>
    </w:p>
    <w:p w14:paraId="5B0F8037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7CB69B90" w14:textId="478F698A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A1001-01 Poslovanje predstavničko i izvršnog tijela izvršena je u iznosu od </w:t>
      </w:r>
      <w:r w:rsidR="00FF408B">
        <w:rPr>
          <w:rFonts w:ascii="Arial Narrow" w:eastAsia="Times New Roman" w:hAnsi="Arial Narrow" w:cs="Times New Roman"/>
          <w:sz w:val="24"/>
          <w:szCs w:val="24"/>
          <w:lang w:eastAsia="hr-HR"/>
        </w:rPr>
        <w:t>60.036</w:t>
      </w: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 odnosno </w:t>
      </w:r>
      <w:r w:rsidR="00FF408B">
        <w:rPr>
          <w:rFonts w:ascii="Arial Narrow" w:eastAsia="Times New Roman" w:hAnsi="Arial Narrow" w:cs="Times New Roman"/>
          <w:sz w:val="24"/>
          <w:szCs w:val="24"/>
          <w:lang w:eastAsia="hr-HR"/>
        </w:rPr>
        <w:t>98,42</w:t>
      </w: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% izvornog plana a odnosi se na naknade za rad predstavničkog tijela. </w:t>
      </w:r>
    </w:p>
    <w:p w14:paraId="047ADE80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78B67949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A1001-02 Pokroviteljstvo političkih stranaka izvršena je u iznosu od 26.800,00 kuna odnosno 100% izvornog plana a odnosi se na pokroviteljstvo političkih stranka na području Općine Bibinje. </w:t>
      </w:r>
    </w:p>
    <w:p w14:paraId="0B57ECD8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4725CFBE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Program 1002 Obilježavanje dana Općine i ostale obljetnice </w:t>
      </w:r>
    </w:p>
    <w:p w14:paraId="109F8B7C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</w:pPr>
    </w:p>
    <w:p w14:paraId="53B6D742" w14:textId="70FEE792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A1002-01 Obilježavanja dana Općine i ostale obljetnice izvršena je u iznosu od </w:t>
      </w:r>
      <w:r w:rsidR="00FF408B">
        <w:rPr>
          <w:rFonts w:ascii="Arial Narrow" w:eastAsia="Times New Roman" w:hAnsi="Arial Narrow" w:cs="Times New Roman"/>
          <w:sz w:val="24"/>
          <w:szCs w:val="24"/>
          <w:lang w:eastAsia="hr-HR"/>
        </w:rPr>
        <w:t>9.660</w:t>
      </w: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 odnosno </w:t>
      </w:r>
      <w:r w:rsidR="00FF408B">
        <w:rPr>
          <w:rFonts w:ascii="Arial Narrow" w:eastAsia="Times New Roman" w:hAnsi="Arial Narrow" w:cs="Times New Roman"/>
          <w:sz w:val="24"/>
          <w:szCs w:val="24"/>
          <w:lang w:eastAsia="hr-HR"/>
        </w:rPr>
        <w:t>46</w:t>
      </w: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>% izvornog plana</w:t>
      </w:r>
      <w:r w:rsidR="00FF408B">
        <w:rPr>
          <w:rFonts w:ascii="Arial Narrow" w:eastAsia="Times New Roman" w:hAnsi="Arial Narrow" w:cs="Times New Roman"/>
          <w:sz w:val="24"/>
          <w:szCs w:val="24"/>
          <w:lang w:eastAsia="hr-HR"/>
        </w:rPr>
        <w:t>.</w:t>
      </w:r>
      <w:r w:rsidR="00FF408B" w:rsidRPr="00FF408B">
        <w:rPr>
          <w:rFonts w:ascii="Arial Narrow" w:hAnsi="Arial Narrow"/>
          <w:i/>
          <w:iCs/>
          <w:sz w:val="24"/>
          <w:szCs w:val="24"/>
          <w:lang w:eastAsia="hr-HR"/>
        </w:rPr>
        <w:t xml:space="preserve"> </w:t>
      </w:r>
      <w:r w:rsidR="00FF408B" w:rsidRPr="00FF408B">
        <w:rPr>
          <w:rFonts w:ascii="Arial Narrow" w:hAnsi="Arial Narrow"/>
          <w:sz w:val="24"/>
          <w:szCs w:val="24"/>
          <w:lang w:eastAsia="hr-HR"/>
        </w:rPr>
        <w:t xml:space="preserve">Smanjenje ove glave uzrokovano je </w:t>
      </w:r>
      <w:r w:rsidR="00FF408B" w:rsidRPr="00FF408B">
        <w:rPr>
          <w:rFonts w:ascii="Arial Narrow" w:hAnsi="Arial Narrow"/>
          <w:sz w:val="24"/>
          <w:szCs w:val="24"/>
        </w:rPr>
        <w:t>mjerama zabrane organiziranja manifestacija zbog epidemije bolesti COVID-19</w:t>
      </w:r>
      <w:r w:rsidR="00FF408B">
        <w:rPr>
          <w:rFonts w:ascii="Arial Narrow" w:hAnsi="Arial Narrow"/>
          <w:sz w:val="24"/>
          <w:szCs w:val="24"/>
        </w:rPr>
        <w:t xml:space="preserve">. </w:t>
      </w:r>
    </w:p>
    <w:p w14:paraId="34AB9BCD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3684C8BC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>Zakonske i druge pravne osnove</w:t>
      </w:r>
    </w:p>
    <w:p w14:paraId="1F15B628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Zakon o lokalnoj i područnoj (regionalnoj samoupravi,  Statut Općine Bibinje </w:t>
      </w:r>
    </w:p>
    <w:p w14:paraId="1EF9D88D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71F55FA7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Razdjel 020 Jedinstveni upravni odjel </w:t>
      </w:r>
    </w:p>
    <w:p w14:paraId="6D637FFA" w14:textId="77777777" w:rsidR="00AE55E0" w:rsidRPr="00FF408B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FF408B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Glava 020-01 Jedinstveni upravni odjel </w:t>
      </w:r>
    </w:p>
    <w:p w14:paraId="1D3192D5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</w:pPr>
    </w:p>
    <w:p w14:paraId="11DAB658" w14:textId="77777777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>Glava Jedinstveni upravni odjel obavlja poslove pripreme i izrade materijala za općinsko vijeće, poslove odnosa sa javnošću, komunikaciju sa građanima, praćenje izvršenja proračuna, izrada financijskih i statističkih izvještaja, vođenje poslovnih knjiga, vodi upravne i sudske postupke, obavlja poslove vezane za rad načelnika, obavlja poslove pisarnice, dodjeljuje koncesije, brine o imovini općine, gospodari prostorima i javnim površinama općine,  obavlja poslove komunalnog redarstva, kandidira projekte za dobivanje sredstava iz EU fondova i državnog proračuna te nadzire projekt katastarske izmjere općine.</w:t>
      </w:r>
    </w:p>
    <w:p w14:paraId="0E9213F5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15144425" w14:textId="77777777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>Glava Jedinstveni upravni odjel sastoji se od dva programa:</w:t>
      </w:r>
    </w:p>
    <w:p w14:paraId="45870460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67BFB4E8" w14:textId="77777777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Program 1003 Rashodi poslovanja JUO-a</w:t>
      </w:r>
    </w:p>
    <w:p w14:paraId="408C26E9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</w:pPr>
    </w:p>
    <w:p w14:paraId="5BBD916F" w14:textId="7DEACCB8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A 1003-01 Rashodi za zaposlene JUO-a izvršeni su u iznosu od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2.344.496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 odnosno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95,86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% izvornog plana. Rashodi za dužnosnike, djelatnike i namještenike općine Bibinje izvršeni su iznosu od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1.411.836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 odnosno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94,32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% izvornog plana. Materijalni rashodi JUO-a izvršeni su iznosu od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932.660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 odnosno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98,28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>% izvornog plana a odnose se na materijal i usluge za obavljanje poslova općine Bibinje..</w:t>
      </w:r>
    </w:p>
    <w:p w14:paraId="12813288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017C51C5" w14:textId="6E56E746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KP 1003-01 Postrojenja i oprema izvršeni su u iznosu od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69.244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e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odnosno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99,23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% izvornog plana a odnose se na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nabvu knjigovodstvenog programa, računala, mobitela i licenci. 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</w:p>
    <w:p w14:paraId="19599530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1CBD02C5" w14:textId="571DC7E2" w:rsidR="00AE55E0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>A 10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03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-02 Financijski rashodi JUO-a izvršeni su u iznosu od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87.667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 što je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99,13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% izvornog plana. Financijski rashodi se odnose na kamate za primljene dugoročne i kratkoročne kredite, na bankarske usluge i zatezne kamate. </w:t>
      </w:r>
    </w:p>
    <w:p w14:paraId="53B1EA4B" w14:textId="6B762B71" w:rsidR="00792847" w:rsidRDefault="00792847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14:paraId="2F6D72FB" w14:textId="7BC1F147" w:rsidR="00792847" w:rsidRPr="00792847" w:rsidRDefault="00792847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A 1003-04 Otplata glavnice dugoročnih kredita izvršena je u iznosu od 444.445 kuna što je 100,00% izvornog plana a odnosi se na otplatu dugoročnog kredita. </w:t>
      </w:r>
    </w:p>
    <w:p w14:paraId="1A20049E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595DD057" w14:textId="77777777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Program 1004 Katastarska izmjera </w:t>
      </w:r>
    </w:p>
    <w:p w14:paraId="7F0E7EDE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hr-HR"/>
        </w:rPr>
      </w:pPr>
    </w:p>
    <w:p w14:paraId="6A260A53" w14:textId="552AD451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Program katastarska izmjera sastoji se od jednog tekućeg projekta a namjena mu je rješavanje katastarskih knjiga na području Općine Bibinje. Projekt je izvršen u iznosu od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133.880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 ili </w:t>
      </w:r>
      <w:r w:rsidR="00792847">
        <w:rPr>
          <w:rFonts w:ascii="Arial Narrow" w:eastAsia="Times New Roman" w:hAnsi="Arial Narrow" w:cs="Times New Roman"/>
          <w:sz w:val="24"/>
          <w:szCs w:val="24"/>
          <w:lang w:eastAsia="hr-HR"/>
        </w:rPr>
        <w:t>100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% izvornog plana. </w:t>
      </w:r>
    </w:p>
    <w:p w14:paraId="33FD9071" w14:textId="5A521E30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14:paraId="1B5CF8C6" w14:textId="3A4D6ACD" w:rsidR="00792847" w:rsidRDefault="00792847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  <w:t>Program 1015 WIFI4YOU</w:t>
      </w:r>
    </w:p>
    <w:p w14:paraId="4706FAD6" w14:textId="71D1BEB4" w:rsidR="00792847" w:rsidRDefault="00792847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hr-HR"/>
        </w:rPr>
      </w:pPr>
    </w:p>
    <w:p w14:paraId="168DECDD" w14:textId="240E2A13" w:rsidR="00792847" w:rsidRPr="00E46B2E" w:rsidRDefault="00E46B2E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E46B2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Program WIFI4YOU izvršen je u iznosu od 134.526 kuna odnosno 99,98% izvornog plana a odnosi se na nabavu opreme za pristupne točke bežičnog interneta u iznosu od 111.558 kuna i usluge održavanja bežičnog interneta. </w:t>
      </w:r>
    </w:p>
    <w:p w14:paraId="219AFD18" w14:textId="77777777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Zakonske i druge pravne osnove </w:t>
      </w:r>
    </w:p>
    <w:p w14:paraId="51EC447B" w14:textId="77777777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Statut Općine Bibinje, Zakon o plaćama u lokalnoj i područnoj (regionalnoj) samoupravi, Zakon o proračunu, Zakon o lokalnoj i područnoj (regionalnoj samoupravi) </w:t>
      </w:r>
    </w:p>
    <w:p w14:paraId="700BF673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15FA9CD4" w14:textId="77777777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Glava 020-02 Vatrogastvo i civilna zaštita </w:t>
      </w:r>
    </w:p>
    <w:p w14:paraId="4A5F3F04" w14:textId="77777777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</w:p>
    <w:p w14:paraId="430159AA" w14:textId="77777777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lastRenderedPageBreak/>
        <w:t xml:space="preserve">Glava Vatrogastvo i civilna zaštita u okviru koje se financira Javna vatrogasna postrojba Zadar i Hrvatska gorska služba spašavanja. JVP-a Zadar je proračunski korisnik Grada Zadar čiji je i Općina Bibinje suosnivač 4,7%. </w:t>
      </w:r>
    </w:p>
    <w:p w14:paraId="25D9A71A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29EC49D8" w14:textId="4CC0DFA8" w:rsidR="00AE55E0" w:rsidRPr="00792847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A 1005-01 Rad JVP-a i donacije izvršene su u iznosu od </w:t>
      </w:r>
      <w:r w:rsidR="00E46B2E">
        <w:rPr>
          <w:rFonts w:ascii="Arial Narrow" w:eastAsia="Times New Roman" w:hAnsi="Arial Narrow" w:cs="Times New Roman"/>
          <w:sz w:val="24"/>
          <w:szCs w:val="24"/>
          <w:lang w:eastAsia="hr-HR"/>
        </w:rPr>
        <w:t>1.088.719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 što je </w:t>
      </w:r>
      <w:r w:rsidR="00E46B2E">
        <w:rPr>
          <w:rFonts w:ascii="Arial Narrow" w:eastAsia="Times New Roman" w:hAnsi="Arial Narrow" w:cs="Times New Roman"/>
          <w:sz w:val="24"/>
          <w:szCs w:val="24"/>
          <w:lang w:eastAsia="hr-HR"/>
        </w:rPr>
        <w:t>103,90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% izvornog plana. Iznos od </w:t>
      </w:r>
      <w:r w:rsidR="00E46B2E">
        <w:rPr>
          <w:rFonts w:ascii="Arial Narrow" w:eastAsia="Times New Roman" w:hAnsi="Arial Narrow" w:cs="Times New Roman"/>
          <w:sz w:val="24"/>
          <w:szCs w:val="24"/>
          <w:lang w:eastAsia="hr-HR"/>
        </w:rPr>
        <w:t>1.080.719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 odnosi se na financiranje JVP-a Zadar dok 8.000 kuna na donaciju Hrvatskoj gorskoj službi spašavanja. Općina Bibinje sufinancira rad JVP Zadar decentraliziranim sredstvima u iznosu od </w:t>
      </w:r>
      <w:r w:rsidR="00E46B2E">
        <w:rPr>
          <w:rFonts w:ascii="Arial Narrow" w:eastAsia="Times New Roman" w:hAnsi="Arial Narrow" w:cs="Times New Roman"/>
          <w:sz w:val="24"/>
          <w:szCs w:val="24"/>
          <w:lang w:eastAsia="hr-HR"/>
        </w:rPr>
        <w:t>647.069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 te općim prihodima iz proračuna u iznosu od </w:t>
      </w:r>
      <w:r w:rsidR="00E46B2E">
        <w:rPr>
          <w:rFonts w:ascii="Arial Narrow" w:eastAsia="Times New Roman" w:hAnsi="Arial Narrow" w:cs="Times New Roman"/>
          <w:sz w:val="24"/>
          <w:szCs w:val="24"/>
          <w:lang w:eastAsia="hr-HR"/>
        </w:rPr>
        <w:t>433.650</w:t>
      </w:r>
      <w:r w:rsidRPr="0079284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kuna.</w:t>
      </w:r>
      <w:r w:rsidR="00E46B2E" w:rsidRPr="00E46B2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="00E46B2E">
        <w:rPr>
          <w:rFonts w:ascii="Arial Narrow" w:eastAsia="Times New Roman" w:hAnsi="Arial Narrow" w:cs="Times New Roman"/>
          <w:sz w:val="24"/>
          <w:szCs w:val="24"/>
          <w:lang w:eastAsia="hr-HR"/>
        </w:rPr>
        <w:t>Odstupanje se odnosi na razliku decentraliziranih sredstava.</w:t>
      </w:r>
    </w:p>
    <w:p w14:paraId="68D99C30" w14:textId="77777777" w:rsidR="00AE55E0" w:rsidRPr="00771F34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sz w:val="24"/>
          <w:szCs w:val="24"/>
          <w:lang w:eastAsia="hr-HR"/>
        </w:rPr>
      </w:pPr>
    </w:p>
    <w:p w14:paraId="7F49CA88" w14:textId="77777777" w:rsidR="00AE55E0" w:rsidRPr="00E46B2E" w:rsidRDefault="00AE55E0" w:rsidP="00AE55E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E46B2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Zakonske i druge pravne osnove </w:t>
      </w:r>
    </w:p>
    <w:p w14:paraId="4CEBAF3A" w14:textId="27469ADE" w:rsidR="00AE55E0" w:rsidRPr="00E46B2E" w:rsidRDefault="00AE55E0" w:rsidP="00AE55E0">
      <w:pPr>
        <w:pStyle w:val="Naslov8"/>
        <w:tabs>
          <w:tab w:val="left" w:pos="708"/>
        </w:tabs>
        <w:jc w:val="both"/>
        <w:rPr>
          <w:rFonts w:ascii="Arial Narrow" w:hAnsi="Arial Narrow"/>
          <w:b w:val="0"/>
          <w:sz w:val="24"/>
        </w:rPr>
      </w:pPr>
      <w:r w:rsidRPr="00E46B2E">
        <w:rPr>
          <w:rFonts w:ascii="Arial Narrow" w:hAnsi="Arial Narrow"/>
          <w:b w:val="0"/>
          <w:sz w:val="24"/>
        </w:rPr>
        <w:t>Zakon o vatrogastvu, Odluka o minimalnim financijskim standardima za obavljanje djelatnosti javnih vatrogasnih postrojbi u 20</w:t>
      </w:r>
      <w:r w:rsidR="00E46B2E">
        <w:rPr>
          <w:rFonts w:ascii="Arial Narrow" w:hAnsi="Arial Narrow"/>
          <w:b w:val="0"/>
          <w:sz w:val="24"/>
        </w:rPr>
        <w:t>20</w:t>
      </w:r>
      <w:r w:rsidRPr="00E46B2E">
        <w:rPr>
          <w:rFonts w:ascii="Arial Narrow" w:hAnsi="Arial Narrow"/>
          <w:b w:val="0"/>
          <w:sz w:val="24"/>
        </w:rPr>
        <w:t>. godini, Plan zaštite od požara za Grad Zadar, Općinu Poličnik, Općinu Bibinje i Općinu Zemunik Donji, Zakon o zaštiti od požara, Smjernice i godišnji plan za organizaciju i razvoj sustava civilne zaštite na području Općine Bibinje za razdoblje od 20</w:t>
      </w:r>
      <w:r w:rsidR="00E46B2E">
        <w:rPr>
          <w:rFonts w:ascii="Arial Narrow" w:hAnsi="Arial Narrow"/>
          <w:b w:val="0"/>
          <w:sz w:val="24"/>
        </w:rPr>
        <w:t>20</w:t>
      </w:r>
      <w:r w:rsidRPr="00E46B2E">
        <w:rPr>
          <w:rFonts w:ascii="Arial Narrow" w:hAnsi="Arial Narrow"/>
          <w:b w:val="0"/>
          <w:sz w:val="24"/>
        </w:rPr>
        <w:t>. do 202</w:t>
      </w:r>
      <w:r w:rsidR="00E46B2E">
        <w:rPr>
          <w:rFonts w:ascii="Arial Narrow" w:hAnsi="Arial Narrow"/>
          <w:b w:val="0"/>
          <w:sz w:val="24"/>
        </w:rPr>
        <w:t>2</w:t>
      </w:r>
      <w:r w:rsidRPr="00E46B2E">
        <w:rPr>
          <w:rFonts w:ascii="Arial Narrow" w:hAnsi="Arial Narrow"/>
          <w:b w:val="0"/>
          <w:sz w:val="24"/>
        </w:rPr>
        <w:t>. godine.</w:t>
      </w:r>
    </w:p>
    <w:p w14:paraId="08AE2C99" w14:textId="77777777" w:rsidR="00AE55E0" w:rsidRPr="00771F34" w:rsidRDefault="00AE55E0" w:rsidP="00AE55E0">
      <w:pPr>
        <w:rPr>
          <w:rFonts w:ascii="Arial Narrow" w:hAnsi="Arial Narrow"/>
          <w:color w:val="FF0000"/>
          <w:sz w:val="24"/>
          <w:szCs w:val="24"/>
          <w:lang w:eastAsia="hr-HR"/>
        </w:rPr>
      </w:pPr>
    </w:p>
    <w:p w14:paraId="1CF1ABF9" w14:textId="77777777" w:rsidR="00AE55E0" w:rsidRPr="00E46B2E" w:rsidRDefault="00AE55E0" w:rsidP="00AE55E0">
      <w:pPr>
        <w:rPr>
          <w:rFonts w:ascii="Arial Narrow" w:hAnsi="Arial Narrow"/>
          <w:b/>
          <w:sz w:val="24"/>
          <w:szCs w:val="24"/>
          <w:lang w:eastAsia="hr-HR"/>
        </w:rPr>
      </w:pPr>
      <w:r w:rsidRPr="00E46B2E">
        <w:rPr>
          <w:rFonts w:ascii="Arial Narrow" w:hAnsi="Arial Narrow"/>
          <w:b/>
          <w:sz w:val="24"/>
          <w:szCs w:val="24"/>
          <w:lang w:eastAsia="hr-HR"/>
        </w:rPr>
        <w:t xml:space="preserve">Glava 020-03 Komunalna infrastruktura </w:t>
      </w:r>
    </w:p>
    <w:p w14:paraId="7E5F2062" w14:textId="77777777" w:rsidR="00AE55E0" w:rsidRPr="00E46B2E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E46B2E">
        <w:rPr>
          <w:rFonts w:ascii="Arial Narrow" w:hAnsi="Arial Narrow"/>
          <w:sz w:val="24"/>
          <w:szCs w:val="24"/>
          <w:lang w:eastAsia="hr-HR"/>
        </w:rPr>
        <w:t>Glava komunalna infrastruktura ima tri programa održavanje objekata i uređaja komunalne infrastrukture, zaštita okoliša i izgradnja objekata i uređaja komunalne infrastrukture. Cilj ove glave je izgradnja i unapređenje komunalne infrastrukture, stvaranje boljih uvjeta života i rada mještana Bibinja, otvaranje novih radnih mjesta, jačanje gospodarstva, osiguranje prostornih preduvjeta za gospodarski razvoj, unapređenje sustava zaštite okoliša.</w:t>
      </w:r>
    </w:p>
    <w:p w14:paraId="226A40E5" w14:textId="77777777" w:rsidR="00AE55E0" w:rsidRPr="00E46B2E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E46B2E">
        <w:rPr>
          <w:rFonts w:ascii="Arial Narrow" w:hAnsi="Arial Narrow"/>
          <w:sz w:val="24"/>
          <w:szCs w:val="24"/>
          <w:lang w:eastAsia="hr-HR"/>
        </w:rPr>
        <w:t xml:space="preserve">Program </w:t>
      </w:r>
      <w:r w:rsidRPr="00E46B2E">
        <w:rPr>
          <w:rFonts w:ascii="Arial Narrow" w:hAnsi="Arial Narrow"/>
          <w:b/>
          <w:sz w:val="24"/>
          <w:szCs w:val="24"/>
          <w:lang w:eastAsia="hr-HR"/>
        </w:rPr>
        <w:t>1006</w:t>
      </w:r>
      <w:r w:rsidRPr="00E46B2E">
        <w:rPr>
          <w:rFonts w:ascii="Arial Narrow" w:hAnsi="Arial Narrow"/>
          <w:sz w:val="24"/>
          <w:szCs w:val="24"/>
          <w:lang w:eastAsia="hr-HR"/>
        </w:rPr>
        <w:t xml:space="preserve"> Održavanje komunalne infrastrukture provodi se kroz aktivnosti:</w:t>
      </w:r>
    </w:p>
    <w:p w14:paraId="61485D3E" w14:textId="5062052C" w:rsidR="00AE55E0" w:rsidRPr="00E46B2E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E46B2E">
        <w:rPr>
          <w:rFonts w:ascii="Arial Narrow" w:hAnsi="Arial Narrow"/>
          <w:sz w:val="24"/>
          <w:szCs w:val="24"/>
          <w:lang w:eastAsia="hr-HR"/>
        </w:rPr>
        <w:t xml:space="preserve">A 1006-01 Održavanje komunalne infrastrukture ostalo – aktivnost je izvršena u iznosu od </w:t>
      </w:r>
      <w:r w:rsidR="00E46B2E">
        <w:rPr>
          <w:rFonts w:ascii="Arial Narrow" w:hAnsi="Arial Narrow"/>
          <w:sz w:val="24"/>
          <w:szCs w:val="24"/>
          <w:lang w:eastAsia="hr-HR"/>
        </w:rPr>
        <w:t>138.497</w:t>
      </w:r>
      <w:r w:rsidRPr="00E46B2E">
        <w:rPr>
          <w:rFonts w:ascii="Arial Narrow" w:hAnsi="Arial Narrow"/>
          <w:sz w:val="24"/>
          <w:szCs w:val="24"/>
          <w:lang w:eastAsia="hr-HR"/>
        </w:rPr>
        <w:t xml:space="preserve"> kuna odnosno </w:t>
      </w:r>
      <w:r w:rsidR="00E46B2E">
        <w:rPr>
          <w:rFonts w:ascii="Arial Narrow" w:hAnsi="Arial Narrow"/>
          <w:sz w:val="24"/>
          <w:szCs w:val="24"/>
          <w:lang w:eastAsia="hr-HR"/>
        </w:rPr>
        <w:t>74,06</w:t>
      </w:r>
      <w:r w:rsidRPr="00E46B2E">
        <w:rPr>
          <w:rFonts w:ascii="Arial Narrow" w:hAnsi="Arial Narrow"/>
          <w:sz w:val="24"/>
          <w:szCs w:val="24"/>
          <w:lang w:eastAsia="hr-HR"/>
        </w:rPr>
        <w:t xml:space="preserve">% plana a odnosi se na održavanje ostale komunalne infrastrukture koja ne spada u javne površine i nerazvrstane ceste te na subvencije trgovačkim društvima u javnom sektoru. </w:t>
      </w:r>
    </w:p>
    <w:p w14:paraId="302DFB60" w14:textId="5C3A04F6" w:rsidR="00AE55E0" w:rsidRPr="00E46B2E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E46B2E">
        <w:rPr>
          <w:rFonts w:ascii="Arial Narrow" w:hAnsi="Arial Narrow"/>
          <w:sz w:val="24"/>
          <w:szCs w:val="24"/>
          <w:lang w:eastAsia="hr-HR"/>
        </w:rPr>
        <w:t xml:space="preserve">A 1006-02 Održavanje javnih površina – aktivnost je izvršena u iznosu od </w:t>
      </w:r>
      <w:r w:rsidR="00E46B2E">
        <w:rPr>
          <w:rFonts w:ascii="Arial Narrow" w:hAnsi="Arial Narrow"/>
          <w:sz w:val="24"/>
          <w:szCs w:val="24"/>
          <w:lang w:eastAsia="hr-HR"/>
        </w:rPr>
        <w:t xml:space="preserve">2.081.291 </w:t>
      </w:r>
      <w:r w:rsidRPr="00E46B2E">
        <w:rPr>
          <w:rFonts w:ascii="Arial Narrow" w:hAnsi="Arial Narrow"/>
          <w:sz w:val="24"/>
          <w:szCs w:val="24"/>
          <w:lang w:eastAsia="hr-HR"/>
        </w:rPr>
        <w:t xml:space="preserve">odnosno </w:t>
      </w:r>
      <w:r w:rsidR="00E46B2E">
        <w:rPr>
          <w:rFonts w:ascii="Arial Narrow" w:hAnsi="Arial Narrow"/>
          <w:sz w:val="24"/>
          <w:szCs w:val="24"/>
          <w:lang w:eastAsia="hr-HR"/>
        </w:rPr>
        <w:t>99.84</w:t>
      </w:r>
      <w:r w:rsidRPr="00E46B2E">
        <w:rPr>
          <w:rFonts w:ascii="Arial Narrow" w:hAnsi="Arial Narrow"/>
          <w:sz w:val="24"/>
          <w:szCs w:val="24"/>
          <w:lang w:eastAsia="hr-HR"/>
        </w:rPr>
        <w:t>% plana a odnosi se na čišćenje ulica, trgova, plaža, sportskih igrališta, parkirališta, poslovne zone i održavanje zelenih površina.</w:t>
      </w:r>
    </w:p>
    <w:p w14:paraId="6F116245" w14:textId="47EB080E" w:rsidR="00AE55E0" w:rsidRPr="00E46B2E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E46B2E">
        <w:rPr>
          <w:rFonts w:ascii="Arial Narrow" w:hAnsi="Arial Narrow"/>
          <w:sz w:val="24"/>
          <w:szCs w:val="24"/>
          <w:lang w:eastAsia="hr-HR"/>
        </w:rPr>
        <w:t xml:space="preserve">A 1006-03 Održavanje nerazvrstanih cesta – aktivnost je izvršena u iznosu od </w:t>
      </w:r>
      <w:r w:rsidR="00E46B2E">
        <w:rPr>
          <w:rFonts w:ascii="Arial Narrow" w:hAnsi="Arial Narrow"/>
          <w:sz w:val="24"/>
          <w:szCs w:val="24"/>
          <w:lang w:eastAsia="hr-HR"/>
        </w:rPr>
        <w:t>270.365</w:t>
      </w:r>
      <w:r w:rsidRPr="00E46B2E">
        <w:rPr>
          <w:rFonts w:ascii="Arial Narrow" w:hAnsi="Arial Narrow"/>
          <w:sz w:val="24"/>
          <w:szCs w:val="24"/>
          <w:lang w:eastAsia="hr-HR"/>
        </w:rPr>
        <w:t xml:space="preserve"> kuna odnosno </w:t>
      </w:r>
      <w:r w:rsidR="00E46B2E">
        <w:rPr>
          <w:rFonts w:ascii="Arial Narrow" w:hAnsi="Arial Narrow"/>
          <w:sz w:val="24"/>
          <w:szCs w:val="24"/>
          <w:lang w:eastAsia="hr-HR"/>
        </w:rPr>
        <w:t>87,67</w:t>
      </w:r>
      <w:r w:rsidRPr="00E46B2E">
        <w:rPr>
          <w:rFonts w:ascii="Arial Narrow" w:hAnsi="Arial Narrow"/>
          <w:sz w:val="24"/>
          <w:szCs w:val="24"/>
          <w:lang w:eastAsia="hr-HR"/>
        </w:rPr>
        <w:t>% plana a odnosi se na  održavanje nerazvrstanih cesta i prometnih znakova te održavanje poljskih puteva.</w:t>
      </w:r>
    </w:p>
    <w:p w14:paraId="08F3ED73" w14:textId="45B28A4E" w:rsidR="00AE55E0" w:rsidRPr="00E46B2E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E46B2E">
        <w:rPr>
          <w:rFonts w:ascii="Arial Narrow" w:hAnsi="Arial Narrow"/>
          <w:sz w:val="24"/>
          <w:szCs w:val="24"/>
          <w:lang w:eastAsia="hr-HR"/>
        </w:rPr>
        <w:t xml:space="preserve">A 1006-04 Održavanje javne rasvjete – aktivnost je izvršena u iznosu od </w:t>
      </w:r>
      <w:r w:rsidR="00E46B2E">
        <w:rPr>
          <w:rFonts w:ascii="Arial Narrow" w:hAnsi="Arial Narrow"/>
          <w:sz w:val="24"/>
          <w:szCs w:val="24"/>
          <w:lang w:eastAsia="hr-HR"/>
        </w:rPr>
        <w:t>523.190</w:t>
      </w:r>
      <w:r w:rsidRPr="00E46B2E">
        <w:rPr>
          <w:rFonts w:ascii="Arial Narrow" w:hAnsi="Arial Narrow"/>
          <w:sz w:val="24"/>
          <w:szCs w:val="24"/>
          <w:lang w:eastAsia="hr-HR"/>
        </w:rPr>
        <w:t xml:space="preserve"> kuna odnosno </w:t>
      </w:r>
      <w:r w:rsidR="00E46B2E">
        <w:rPr>
          <w:rFonts w:ascii="Arial Narrow" w:hAnsi="Arial Narrow"/>
          <w:sz w:val="24"/>
          <w:szCs w:val="24"/>
          <w:lang w:eastAsia="hr-HR"/>
        </w:rPr>
        <w:t>100,42</w:t>
      </w:r>
      <w:r w:rsidRPr="00E46B2E">
        <w:rPr>
          <w:rFonts w:ascii="Arial Narrow" w:hAnsi="Arial Narrow"/>
          <w:sz w:val="24"/>
          <w:szCs w:val="24"/>
          <w:lang w:eastAsia="hr-HR"/>
        </w:rPr>
        <w:t xml:space="preserve">% plana a odnosi se na rashode za električne energije javne rasvjete u iznosu od </w:t>
      </w:r>
      <w:r w:rsidR="000172BD">
        <w:rPr>
          <w:rFonts w:ascii="Arial Narrow" w:hAnsi="Arial Narrow"/>
          <w:sz w:val="24"/>
          <w:szCs w:val="24"/>
          <w:lang w:eastAsia="hr-HR"/>
        </w:rPr>
        <w:t xml:space="preserve">322.234 </w:t>
      </w:r>
      <w:r w:rsidRPr="00E46B2E">
        <w:rPr>
          <w:rFonts w:ascii="Arial Narrow" w:hAnsi="Arial Narrow"/>
          <w:sz w:val="24"/>
          <w:szCs w:val="24"/>
          <w:lang w:eastAsia="hr-HR"/>
        </w:rPr>
        <w:t xml:space="preserve"> kun</w:t>
      </w:r>
      <w:r w:rsidR="000172BD">
        <w:rPr>
          <w:rFonts w:ascii="Arial Narrow" w:hAnsi="Arial Narrow"/>
          <w:sz w:val="24"/>
          <w:szCs w:val="24"/>
          <w:lang w:eastAsia="hr-HR"/>
        </w:rPr>
        <w:t>a</w:t>
      </w:r>
      <w:r w:rsidRPr="00E46B2E">
        <w:rPr>
          <w:rFonts w:ascii="Arial Narrow" w:hAnsi="Arial Narrow"/>
          <w:sz w:val="24"/>
          <w:szCs w:val="24"/>
          <w:lang w:eastAsia="hr-HR"/>
        </w:rPr>
        <w:t xml:space="preserve"> i održavanje javne </w:t>
      </w:r>
      <w:r w:rsidR="000172BD">
        <w:rPr>
          <w:rFonts w:ascii="Arial Narrow" w:hAnsi="Arial Narrow"/>
          <w:sz w:val="24"/>
          <w:szCs w:val="24"/>
          <w:lang w:eastAsia="hr-HR"/>
        </w:rPr>
        <w:t xml:space="preserve">rasvjete </w:t>
      </w:r>
      <w:r w:rsidRPr="00E46B2E">
        <w:rPr>
          <w:rFonts w:ascii="Arial Narrow" w:hAnsi="Arial Narrow"/>
          <w:sz w:val="24"/>
          <w:szCs w:val="24"/>
          <w:lang w:eastAsia="hr-HR"/>
        </w:rPr>
        <w:t xml:space="preserve">u iznosu od </w:t>
      </w:r>
      <w:r w:rsidR="000172BD">
        <w:rPr>
          <w:rFonts w:ascii="Arial Narrow" w:hAnsi="Arial Narrow"/>
          <w:sz w:val="24"/>
          <w:szCs w:val="24"/>
          <w:lang w:eastAsia="hr-HR"/>
        </w:rPr>
        <w:t>200.956</w:t>
      </w:r>
      <w:r w:rsidRPr="00E46B2E">
        <w:rPr>
          <w:rFonts w:ascii="Arial Narrow" w:hAnsi="Arial Narrow"/>
          <w:sz w:val="24"/>
          <w:szCs w:val="24"/>
          <w:lang w:eastAsia="hr-HR"/>
        </w:rPr>
        <w:t xml:space="preserve"> kuna.</w:t>
      </w:r>
    </w:p>
    <w:p w14:paraId="10E91C56" w14:textId="22344E7E" w:rsidR="00AE55E0" w:rsidRPr="000172BD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0172BD">
        <w:rPr>
          <w:rFonts w:ascii="Arial Narrow" w:hAnsi="Arial Narrow"/>
          <w:sz w:val="24"/>
          <w:szCs w:val="24"/>
          <w:lang w:eastAsia="hr-HR"/>
        </w:rPr>
        <w:t xml:space="preserve">Program </w:t>
      </w:r>
      <w:r w:rsidRPr="000172BD">
        <w:rPr>
          <w:rFonts w:ascii="Arial Narrow" w:hAnsi="Arial Narrow"/>
          <w:b/>
          <w:sz w:val="24"/>
          <w:szCs w:val="24"/>
          <w:lang w:eastAsia="hr-HR"/>
        </w:rPr>
        <w:t xml:space="preserve">1007 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Zaštite okoliša izvršen je u iznosu od </w:t>
      </w:r>
      <w:r w:rsidR="000172BD">
        <w:rPr>
          <w:rFonts w:ascii="Arial Narrow" w:hAnsi="Arial Narrow"/>
          <w:sz w:val="24"/>
          <w:szCs w:val="24"/>
          <w:lang w:eastAsia="hr-HR"/>
        </w:rPr>
        <w:t xml:space="preserve">523.851 </w:t>
      </w:r>
      <w:r w:rsidRPr="000172BD">
        <w:rPr>
          <w:rFonts w:ascii="Arial Narrow" w:hAnsi="Arial Narrow"/>
          <w:sz w:val="24"/>
          <w:szCs w:val="24"/>
          <w:lang w:eastAsia="hr-HR"/>
        </w:rPr>
        <w:t>kun</w:t>
      </w:r>
      <w:r w:rsidR="000172BD">
        <w:rPr>
          <w:rFonts w:ascii="Arial Narrow" w:hAnsi="Arial Narrow"/>
          <w:sz w:val="24"/>
          <w:szCs w:val="24"/>
          <w:lang w:eastAsia="hr-HR"/>
        </w:rPr>
        <w:t>u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 odnosno </w:t>
      </w:r>
      <w:r w:rsidR="000172BD">
        <w:rPr>
          <w:rFonts w:ascii="Arial Narrow" w:hAnsi="Arial Narrow"/>
          <w:sz w:val="24"/>
          <w:szCs w:val="24"/>
          <w:lang w:eastAsia="hr-HR"/>
        </w:rPr>
        <w:t>95,61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% plana. Aktivnost Dezinfekcija, dezinfekcija i deratizacija izvršena je u iznosu od </w:t>
      </w:r>
      <w:r w:rsidR="000172BD">
        <w:rPr>
          <w:rFonts w:ascii="Arial Narrow" w:hAnsi="Arial Narrow"/>
          <w:sz w:val="24"/>
          <w:szCs w:val="24"/>
          <w:lang w:eastAsia="hr-HR"/>
        </w:rPr>
        <w:t>101.952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 kuna odnosno 10</w:t>
      </w:r>
      <w:r w:rsidR="000172BD">
        <w:rPr>
          <w:rFonts w:ascii="Arial Narrow" w:hAnsi="Arial Narrow"/>
          <w:sz w:val="24"/>
          <w:szCs w:val="24"/>
          <w:lang w:eastAsia="hr-HR"/>
        </w:rPr>
        <w:t>2,88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% plana, aktivnost komunalni otpad izvršena je u iznosu od </w:t>
      </w:r>
      <w:r w:rsidR="000172BD">
        <w:rPr>
          <w:rFonts w:ascii="Arial Narrow" w:hAnsi="Arial Narrow"/>
          <w:sz w:val="24"/>
          <w:szCs w:val="24"/>
          <w:lang w:eastAsia="hr-HR"/>
        </w:rPr>
        <w:t>369.558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 kuna odnosno </w:t>
      </w:r>
      <w:r w:rsidR="000172BD">
        <w:rPr>
          <w:rFonts w:ascii="Arial Narrow" w:hAnsi="Arial Narrow"/>
          <w:sz w:val="24"/>
          <w:szCs w:val="24"/>
          <w:lang w:eastAsia="hr-HR"/>
        </w:rPr>
        <w:t>93,88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%.. Aktivnost zaštite životinja izvršena je u iznos od </w:t>
      </w:r>
      <w:r w:rsidR="000172BD">
        <w:rPr>
          <w:rFonts w:ascii="Arial Narrow" w:hAnsi="Arial Narrow"/>
          <w:sz w:val="24"/>
          <w:szCs w:val="24"/>
          <w:lang w:eastAsia="hr-HR"/>
        </w:rPr>
        <w:t>8.750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 kuna a odnosi se na uklanjanje lešina sa javnih površina i zbrinjavanje životinja.</w:t>
      </w:r>
      <w:r w:rsidR="000172BD">
        <w:rPr>
          <w:rFonts w:ascii="Arial Narrow" w:hAnsi="Arial Narrow"/>
          <w:sz w:val="24"/>
          <w:szCs w:val="24"/>
          <w:lang w:eastAsia="hr-HR"/>
        </w:rPr>
        <w:t xml:space="preserve"> Aktivnost istraživanje krajolika izvršena je u iznosu od 43.591 odnosno 101,1% izvornog plana a odnosi se na istraživanje flore i faune na području općine Bibinje. </w:t>
      </w:r>
    </w:p>
    <w:p w14:paraId="59F0D4A0" w14:textId="03E2743B" w:rsidR="00AE55E0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0172BD">
        <w:rPr>
          <w:rFonts w:ascii="Arial Narrow" w:hAnsi="Arial Narrow"/>
          <w:sz w:val="24"/>
          <w:szCs w:val="24"/>
          <w:lang w:eastAsia="hr-HR"/>
        </w:rPr>
        <w:lastRenderedPageBreak/>
        <w:t xml:space="preserve">Program </w:t>
      </w:r>
      <w:r w:rsidRPr="000172BD">
        <w:rPr>
          <w:rFonts w:ascii="Arial Narrow" w:hAnsi="Arial Narrow"/>
          <w:b/>
          <w:sz w:val="24"/>
          <w:szCs w:val="24"/>
          <w:lang w:eastAsia="hr-HR"/>
        </w:rPr>
        <w:t xml:space="preserve">1008 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Izgradnja objekata i uređaja komunalne infrastrukture izvršena je u iznosu od </w:t>
      </w:r>
      <w:r w:rsidR="000172BD">
        <w:rPr>
          <w:rFonts w:ascii="Arial Narrow" w:hAnsi="Arial Narrow"/>
          <w:sz w:val="24"/>
          <w:szCs w:val="24"/>
          <w:lang w:eastAsia="hr-HR"/>
        </w:rPr>
        <w:t>2.948.889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 kuna odnosno </w:t>
      </w:r>
      <w:r w:rsidR="000172BD">
        <w:rPr>
          <w:rFonts w:ascii="Arial Narrow" w:hAnsi="Arial Narrow"/>
          <w:sz w:val="24"/>
          <w:szCs w:val="24"/>
          <w:lang w:eastAsia="hr-HR"/>
        </w:rPr>
        <w:t xml:space="preserve">99,48 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% plana. Kapitalne pomoći trgovačkim društvima u javnom sektoru izvršene su u iznosu od </w:t>
      </w:r>
      <w:r w:rsidR="000172BD">
        <w:rPr>
          <w:rFonts w:ascii="Arial Narrow" w:hAnsi="Arial Narrow"/>
          <w:sz w:val="24"/>
          <w:szCs w:val="24"/>
          <w:lang w:eastAsia="hr-HR"/>
        </w:rPr>
        <w:t xml:space="preserve">1.096.305 </w:t>
      </w:r>
      <w:r w:rsidRPr="000172BD">
        <w:rPr>
          <w:rFonts w:ascii="Arial Narrow" w:hAnsi="Arial Narrow"/>
          <w:sz w:val="24"/>
          <w:szCs w:val="24"/>
          <w:lang w:eastAsia="hr-HR"/>
        </w:rPr>
        <w:t>kuna a odnosi se na kapitalne pomoći Odvodnji Bibinje Sukošan</w:t>
      </w:r>
      <w:r w:rsidR="00EC75FB">
        <w:rPr>
          <w:rFonts w:ascii="Arial Narrow" w:hAnsi="Arial Narrow"/>
          <w:sz w:val="24"/>
          <w:szCs w:val="24"/>
          <w:lang w:eastAsia="hr-HR"/>
        </w:rPr>
        <w:t xml:space="preserve"> i trgovačkom društvu Bibinjac.  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. Kupnja zemljišta izvršena je u iznosu od </w:t>
      </w:r>
      <w:r w:rsidR="00EC75FB">
        <w:rPr>
          <w:rFonts w:ascii="Arial Narrow" w:hAnsi="Arial Narrow"/>
          <w:sz w:val="24"/>
          <w:szCs w:val="24"/>
          <w:lang w:eastAsia="hr-HR"/>
        </w:rPr>
        <w:t>29.131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 kuna za širenje ulice Starine. Izgradnja cesta izvršena je u iznosu od </w:t>
      </w:r>
      <w:r w:rsidR="00EC75FB">
        <w:rPr>
          <w:rFonts w:ascii="Arial Narrow" w:hAnsi="Arial Narrow"/>
          <w:sz w:val="24"/>
          <w:szCs w:val="24"/>
          <w:lang w:eastAsia="hr-HR"/>
        </w:rPr>
        <w:t>627.226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 kuna</w:t>
      </w:r>
      <w:r w:rsidR="00EC75FB">
        <w:rPr>
          <w:rFonts w:ascii="Arial Narrow" w:hAnsi="Arial Narrow"/>
          <w:sz w:val="24"/>
          <w:szCs w:val="24"/>
          <w:lang w:eastAsia="hr-HR"/>
        </w:rPr>
        <w:t xml:space="preserve">. 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Izgradnja javne rasvjete izvršena je u iznosu od </w:t>
      </w:r>
      <w:r w:rsidR="00EC75FB">
        <w:rPr>
          <w:rFonts w:ascii="Arial Narrow" w:hAnsi="Arial Narrow"/>
          <w:sz w:val="24"/>
          <w:szCs w:val="24"/>
          <w:lang w:eastAsia="hr-HR"/>
        </w:rPr>
        <w:t>479.753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 kun</w:t>
      </w:r>
      <w:r w:rsidR="00EC75FB">
        <w:rPr>
          <w:rFonts w:ascii="Arial Narrow" w:hAnsi="Arial Narrow"/>
          <w:sz w:val="24"/>
          <w:szCs w:val="24"/>
          <w:lang w:eastAsia="hr-HR"/>
        </w:rPr>
        <w:t>e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. </w:t>
      </w:r>
      <w:r w:rsidR="00EC75FB">
        <w:rPr>
          <w:rFonts w:ascii="Arial Narrow" w:hAnsi="Arial Narrow"/>
          <w:sz w:val="24"/>
          <w:szCs w:val="24"/>
          <w:lang w:eastAsia="hr-HR"/>
        </w:rPr>
        <w:t xml:space="preserve">Ulaganje u poslovnu zonu </w:t>
      </w:r>
      <w:proofErr w:type="spellStart"/>
      <w:r w:rsidR="00EC75FB">
        <w:rPr>
          <w:rFonts w:ascii="Arial Narrow" w:hAnsi="Arial Narrow"/>
          <w:sz w:val="24"/>
          <w:szCs w:val="24"/>
          <w:lang w:eastAsia="hr-HR"/>
        </w:rPr>
        <w:t>Lonići</w:t>
      </w:r>
      <w:proofErr w:type="spellEnd"/>
      <w:r w:rsidR="00EC75FB">
        <w:rPr>
          <w:rFonts w:ascii="Arial Narrow" w:hAnsi="Arial Narrow"/>
          <w:sz w:val="24"/>
          <w:szCs w:val="24"/>
          <w:lang w:eastAsia="hr-HR"/>
        </w:rPr>
        <w:t xml:space="preserve"> izvršeno je u iznosu od 5.358 kuna a odnosi na troškove elektro energetskog priključka. Izgradnje vodovodne mreže izvršena je u iznosu od 14.724 kuna. Izgradnja </w:t>
      </w:r>
      <w:proofErr w:type="spellStart"/>
      <w:r w:rsidR="00EC75FB">
        <w:rPr>
          <w:rFonts w:ascii="Arial Narrow" w:hAnsi="Arial Narrow"/>
          <w:sz w:val="24"/>
          <w:szCs w:val="24"/>
          <w:lang w:eastAsia="hr-HR"/>
        </w:rPr>
        <w:t>reciklažnog</w:t>
      </w:r>
      <w:proofErr w:type="spellEnd"/>
      <w:r w:rsidR="00EC75FB">
        <w:rPr>
          <w:rFonts w:ascii="Arial Narrow" w:hAnsi="Arial Narrow"/>
          <w:sz w:val="24"/>
          <w:szCs w:val="24"/>
          <w:lang w:eastAsia="hr-HR"/>
        </w:rPr>
        <w:t xml:space="preserve"> dvorišta izvršena je u iznosu od 85.000 kuna a odnosi se na izradu projektne dokumentacije. 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Poslovno urbanističko planiranje izvršeno je u iznosu od </w:t>
      </w:r>
      <w:r w:rsidR="00EC75FB">
        <w:rPr>
          <w:rFonts w:ascii="Arial Narrow" w:hAnsi="Arial Narrow"/>
          <w:sz w:val="24"/>
          <w:szCs w:val="24"/>
          <w:lang w:eastAsia="hr-HR"/>
        </w:rPr>
        <w:t>272.875 kuna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 kuna a odnosi se na </w:t>
      </w:r>
      <w:r w:rsidR="00EC75FB">
        <w:rPr>
          <w:rFonts w:ascii="Arial Narrow" w:hAnsi="Arial Narrow"/>
          <w:sz w:val="24"/>
          <w:szCs w:val="24"/>
          <w:lang w:eastAsia="hr-HR"/>
        </w:rPr>
        <w:t xml:space="preserve">izradu </w:t>
      </w:r>
      <w:r w:rsidRPr="000172BD">
        <w:rPr>
          <w:rFonts w:ascii="Arial Narrow" w:hAnsi="Arial Narrow"/>
          <w:sz w:val="24"/>
          <w:szCs w:val="24"/>
          <w:lang w:eastAsia="hr-HR"/>
        </w:rPr>
        <w:t>UPU</w:t>
      </w:r>
      <w:r w:rsidR="00EC75FB">
        <w:rPr>
          <w:rFonts w:ascii="Arial Narrow" w:hAnsi="Arial Narrow"/>
          <w:sz w:val="24"/>
          <w:szCs w:val="24"/>
          <w:lang w:eastAsia="hr-HR"/>
        </w:rPr>
        <w:t xml:space="preserve">-a PZ </w:t>
      </w:r>
      <w:proofErr w:type="spellStart"/>
      <w:r w:rsidR="00EC75FB">
        <w:rPr>
          <w:rFonts w:ascii="Arial Narrow" w:hAnsi="Arial Narrow"/>
          <w:sz w:val="24"/>
          <w:szCs w:val="24"/>
          <w:lang w:eastAsia="hr-HR"/>
        </w:rPr>
        <w:t>Lonići</w:t>
      </w:r>
      <w:proofErr w:type="spellEnd"/>
      <w:r w:rsidR="00EC75FB">
        <w:rPr>
          <w:rFonts w:ascii="Arial Narrow" w:hAnsi="Arial Narrow"/>
          <w:sz w:val="24"/>
          <w:szCs w:val="24"/>
          <w:lang w:eastAsia="hr-HR"/>
        </w:rPr>
        <w:t>, izradu UPU-a Bugarija bori i izradu prostorno plana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. Obalni pojas izvršen je u iznosu od </w:t>
      </w:r>
      <w:r w:rsidR="00EC75FB">
        <w:rPr>
          <w:rFonts w:ascii="Arial Narrow" w:hAnsi="Arial Narrow"/>
          <w:sz w:val="24"/>
          <w:szCs w:val="24"/>
          <w:lang w:eastAsia="hr-HR"/>
        </w:rPr>
        <w:t>112.874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 kuna</w:t>
      </w:r>
      <w:r w:rsidR="00EC75FB">
        <w:rPr>
          <w:rFonts w:ascii="Arial Narrow" w:hAnsi="Arial Narrow"/>
          <w:sz w:val="24"/>
          <w:szCs w:val="24"/>
          <w:lang w:eastAsia="hr-HR"/>
        </w:rPr>
        <w:t xml:space="preserve"> a donosi se na izgradnju potpornih zidova na plaži </w:t>
      </w:r>
      <w:proofErr w:type="spellStart"/>
      <w:r w:rsidR="00EC75FB">
        <w:rPr>
          <w:rFonts w:ascii="Arial Narrow" w:hAnsi="Arial Narrow"/>
          <w:sz w:val="24"/>
          <w:szCs w:val="24"/>
          <w:lang w:eastAsia="hr-HR"/>
        </w:rPr>
        <w:t>Lipauska</w:t>
      </w:r>
      <w:proofErr w:type="spellEnd"/>
      <w:r w:rsidR="00EC75FB">
        <w:rPr>
          <w:rFonts w:ascii="Arial Narrow" w:hAnsi="Arial Narrow"/>
          <w:sz w:val="24"/>
          <w:szCs w:val="24"/>
          <w:lang w:eastAsia="hr-HR"/>
        </w:rPr>
        <w:t xml:space="preserve"> u iznosu od 40.999 kuna i na Obali Alfreda Lisice u iznosu od 71.875 kuna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. Izgradnja vrtića izvršena je u iznosu od </w:t>
      </w:r>
      <w:r w:rsidR="005E2CB1">
        <w:rPr>
          <w:rFonts w:ascii="Arial Narrow" w:hAnsi="Arial Narrow"/>
          <w:sz w:val="24"/>
          <w:szCs w:val="24"/>
          <w:lang w:eastAsia="hr-HR"/>
        </w:rPr>
        <w:t xml:space="preserve">33.609 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 kuna a odnosi se na </w:t>
      </w:r>
      <w:r w:rsidR="005E2CB1">
        <w:rPr>
          <w:rFonts w:ascii="Arial Narrow" w:hAnsi="Arial Narrow"/>
          <w:sz w:val="24"/>
          <w:szCs w:val="24"/>
          <w:lang w:eastAsia="hr-HR"/>
        </w:rPr>
        <w:t>troškove vodnog doprinosa.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. Izgradnja groblja </w:t>
      </w:r>
      <w:proofErr w:type="spellStart"/>
      <w:r w:rsidRPr="000172BD">
        <w:rPr>
          <w:rFonts w:ascii="Arial Narrow" w:hAnsi="Arial Narrow"/>
          <w:sz w:val="24"/>
          <w:szCs w:val="24"/>
          <w:lang w:eastAsia="hr-HR"/>
        </w:rPr>
        <w:t>Sasavac</w:t>
      </w:r>
      <w:proofErr w:type="spellEnd"/>
      <w:r w:rsidRPr="000172BD">
        <w:rPr>
          <w:rFonts w:ascii="Arial Narrow" w:hAnsi="Arial Narrow"/>
          <w:sz w:val="24"/>
          <w:szCs w:val="24"/>
          <w:lang w:eastAsia="hr-HR"/>
        </w:rPr>
        <w:t xml:space="preserve"> izvršena je u iznosu od </w:t>
      </w:r>
      <w:r w:rsidR="005E2CB1">
        <w:rPr>
          <w:rFonts w:ascii="Arial Narrow" w:hAnsi="Arial Narrow"/>
          <w:sz w:val="24"/>
          <w:szCs w:val="24"/>
          <w:lang w:eastAsia="hr-HR"/>
        </w:rPr>
        <w:t xml:space="preserve">102.052 </w:t>
      </w:r>
      <w:r w:rsidRPr="000172BD">
        <w:rPr>
          <w:rFonts w:ascii="Arial Narrow" w:hAnsi="Arial Narrow"/>
          <w:sz w:val="24"/>
          <w:szCs w:val="24"/>
          <w:lang w:eastAsia="hr-HR"/>
        </w:rPr>
        <w:t xml:space="preserve">kuna a odnosi se na </w:t>
      </w:r>
      <w:r w:rsidR="005E2CB1">
        <w:rPr>
          <w:rFonts w:ascii="Arial Narrow" w:hAnsi="Arial Narrow"/>
          <w:sz w:val="24"/>
          <w:szCs w:val="24"/>
          <w:lang w:eastAsia="hr-HR"/>
        </w:rPr>
        <w:t xml:space="preserve">sadnju biljnog materijala i izgradnju zida. </w:t>
      </w:r>
      <w:r w:rsidR="007C285B">
        <w:rPr>
          <w:rFonts w:ascii="Arial Narrow" w:hAnsi="Arial Narrow"/>
          <w:sz w:val="24"/>
          <w:szCs w:val="24"/>
          <w:lang w:eastAsia="hr-HR"/>
        </w:rPr>
        <w:t xml:space="preserve">Dom kulture izvršen je u iznosu od 11.345 kuna a odnosi se na nabavu klima. Prostorije općine Bibinje izvršene su u iznosu od 67.933 kuna a odnosi se na uređenje prostorije u prizemlju zgrade. </w:t>
      </w:r>
    </w:p>
    <w:p w14:paraId="2191BB93" w14:textId="77777777" w:rsidR="00B57AE7" w:rsidRPr="000172BD" w:rsidRDefault="00B57AE7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</w:p>
    <w:p w14:paraId="06A42337" w14:textId="77777777" w:rsidR="00AE55E0" w:rsidRPr="000172BD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0172BD">
        <w:rPr>
          <w:rFonts w:ascii="Arial Narrow" w:hAnsi="Arial Narrow"/>
          <w:sz w:val="24"/>
          <w:szCs w:val="24"/>
          <w:lang w:eastAsia="hr-HR"/>
        </w:rPr>
        <w:t xml:space="preserve">Zakone i druge pravne osnove </w:t>
      </w:r>
    </w:p>
    <w:p w14:paraId="61E7A9A7" w14:textId="77777777" w:rsidR="00AE55E0" w:rsidRPr="000172BD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0172BD">
        <w:rPr>
          <w:rFonts w:ascii="Arial Narrow" w:hAnsi="Arial Narrow"/>
          <w:sz w:val="24"/>
          <w:szCs w:val="24"/>
          <w:lang w:eastAsia="hr-HR"/>
        </w:rPr>
        <w:t>Zakon o komunalnom gospodarstvu, Zakon o vodama, Zakon o zaštiti voda, Zakon o zaštiti okoliša, Zakon o otpadu, Zakon o javnim cestama, Zakon o prostornom uređenju i gradnji, Zakon o lokalnoj i područnoj )regionalnoj samoupravi, Zakon o regionalnom razvoju, Statut Općine Bibinje</w:t>
      </w:r>
    </w:p>
    <w:p w14:paraId="0F64601C" w14:textId="77777777" w:rsidR="00AE55E0" w:rsidRPr="00E56238" w:rsidRDefault="00AE55E0" w:rsidP="00AE55E0">
      <w:pPr>
        <w:rPr>
          <w:rFonts w:ascii="Arial Narrow" w:hAnsi="Arial Narrow"/>
          <w:b/>
          <w:sz w:val="24"/>
          <w:szCs w:val="24"/>
          <w:lang w:eastAsia="hr-HR"/>
        </w:rPr>
      </w:pPr>
      <w:r w:rsidRPr="00E56238">
        <w:rPr>
          <w:rFonts w:ascii="Arial Narrow" w:hAnsi="Arial Narrow"/>
          <w:b/>
          <w:sz w:val="24"/>
          <w:szCs w:val="24"/>
          <w:lang w:eastAsia="hr-HR"/>
        </w:rPr>
        <w:t xml:space="preserve">Glava 020-04 Školstvo, predškolski odgoj i naobrazba </w:t>
      </w:r>
    </w:p>
    <w:p w14:paraId="18C7CFFE" w14:textId="77777777" w:rsidR="00AE55E0" w:rsidRPr="00E56238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E56238">
        <w:rPr>
          <w:rFonts w:ascii="Arial Narrow" w:hAnsi="Arial Narrow"/>
          <w:sz w:val="24"/>
          <w:szCs w:val="24"/>
          <w:lang w:eastAsia="hr-HR"/>
        </w:rPr>
        <w:t xml:space="preserve">Glava školstvo, predškolski odgoj i naobrazba ima dva programa javne potrebe u </w:t>
      </w:r>
      <w:proofErr w:type="spellStart"/>
      <w:r w:rsidRPr="00E56238">
        <w:rPr>
          <w:rFonts w:ascii="Arial Narrow" w:hAnsi="Arial Narrow"/>
          <w:sz w:val="24"/>
          <w:szCs w:val="24"/>
          <w:lang w:eastAsia="hr-HR"/>
        </w:rPr>
        <w:t>predškolstvu</w:t>
      </w:r>
      <w:proofErr w:type="spellEnd"/>
      <w:r w:rsidRPr="00E56238">
        <w:rPr>
          <w:rFonts w:ascii="Arial Narrow" w:hAnsi="Arial Narrow"/>
          <w:sz w:val="24"/>
          <w:szCs w:val="24"/>
          <w:lang w:eastAsia="hr-HR"/>
        </w:rPr>
        <w:t xml:space="preserve"> i javne potrebe u školstvu. Programom javnih potreba u </w:t>
      </w:r>
      <w:proofErr w:type="spellStart"/>
      <w:r w:rsidRPr="00E56238">
        <w:rPr>
          <w:rFonts w:ascii="Arial Narrow" w:hAnsi="Arial Narrow"/>
          <w:sz w:val="24"/>
          <w:szCs w:val="24"/>
          <w:lang w:eastAsia="hr-HR"/>
        </w:rPr>
        <w:t>predškolstvu</w:t>
      </w:r>
      <w:proofErr w:type="spellEnd"/>
      <w:r w:rsidRPr="00E56238">
        <w:rPr>
          <w:rFonts w:ascii="Arial Narrow" w:hAnsi="Arial Narrow"/>
          <w:sz w:val="24"/>
          <w:szCs w:val="24"/>
          <w:lang w:eastAsia="hr-HR"/>
        </w:rPr>
        <w:t xml:space="preserve"> sufinancira se proračunski korisnik dječji vrtić Leptirići. Programom javnih potreba u školstvu sufinanciraju se izvan školske aktivnosti OŠ Stjepana Radića Bibinje.</w:t>
      </w:r>
    </w:p>
    <w:p w14:paraId="4482F121" w14:textId="5BB4EA86" w:rsidR="00AE55E0" w:rsidRPr="00C0069E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C0069E">
        <w:rPr>
          <w:rFonts w:ascii="Arial Narrow" w:hAnsi="Arial Narrow"/>
          <w:sz w:val="24"/>
          <w:szCs w:val="24"/>
          <w:lang w:eastAsia="hr-HR"/>
        </w:rPr>
        <w:t xml:space="preserve">A1009-01 Sufinanciranje potreba DV Leptirići izvršena je u iznosu od </w:t>
      </w:r>
      <w:r w:rsidR="00C0069E">
        <w:rPr>
          <w:rFonts w:ascii="Arial Narrow" w:hAnsi="Arial Narrow"/>
          <w:sz w:val="24"/>
          <w:szCs w:val="24"/>
          <w:lang w:eastAsia="hr-HR"/>
        </w:rPr>
        <w:t>611.517</w:t>
      </w:r>
      <w:r w:rsidRPr="00C0069E">
        <w:rPr>
          <w:rFonts w:ascii="Arial Narrow" w:hAnsi="Arial Narrow"/>
          <w:sz w:val="24"/>
          <w:szCs w:val="24"/>
          <w:lang w:eastAsia="hr-HR"/>
        </w:rPr>
        <w:t xml:space="preserve"> kuna odnosno </w:t>
      </w:r>
      <w:r w:rsidR="00B0612A">
        <w:rPr>
          <w:rFonts w:ascii="Arial Narrow" w:hAnsi="Arial Narrow"/>
          <w:sz w:val="24"/>
          <w:szCs w:val="24"/>
          <w:lang w:eastAsia="hr-HR"/>
        </w:rPr>
        <w:t>100,92</w:t>
      </w:r>
      <w:r w:rsidRPr="00C0069E">
        <w:rPr>
          <w:rFonts w:ascii="Arial Narrow" w:hAnsi="Arial Narrow"/>
          <w:sz w:val="24"/>
          <w:szCs w:val="24"/>
          <w:lang w:eastAsia="hr-HR"/>
        </w:rPr>
        <w:t xml:space="preserve">% izvornog plana. Aktivnost se odnosi na rashode za zaposlene kod proračunskog korisnika </w:t>
      </w:r>
      <w:proofErr w:type="spellStart"/>
      <w:r w:rsidRPr="00C0069E">
        <w:rPr>
          <w:rFonts w:ascii="Arial Narrow" w:hAnsi="Arial Narrow"/>
          <w:sz w:val="24"/>
          <w:szCs w:val="24"/>
          <w:lang w:eastAsia="hr-HR"/>
        </w:rPr>
        <w:t>Dv</w:t>
      </w:r>
      <w:proofErr w:type="spellEnd"/>
      <w:r w:rsidRPr="00C0069E">
        <w:rPr>
          <w:rFonts w:ascii="Arial Narrow" w:hAnsi="Arial Narrow"/>
          <w:sz w:val="24"/>
          <w:szCs w:val="24"/>
          <w:lang w:eastAsia="hr-HR"/>
        </w:rPr>
        <w:t xml:space="preserve"> leptirići u iznosu od </w:t>
      </w:r>
      <w:r w:rsidR="00B0612A">
        <w:rPr>
          <w:rFonts w:ascii="Arial Narrow" w:hAnsi="Arial Narrow"/>
          <w:sz w:val="24"/>
          <w:szCs w:val="24"/>
          <w:lang w:eastAsia="hr-HR"/>
        </w:rPr>
        <w:t>474.424</w:t>
      </w:r>
      <w:r w:rsidRPr="00C0069E">
        <w:rPr>
          <w:rFonts w:ascii="Arial Narrow" w:hAnsi="Arial Narrow"/>
          <w:sz w:val="24"/>
          <w:szCs w:val="24"/>
          <w:lang w:eastAsia="hr-HR"/>
        </w:rPr>
        <w:t xml:space="preserve"> kune, materijalne rashode u iznosu od </w:t>
      </w:r>
      <w:r w:rsidR="00B0612A">
        <w:rPr>
          <w:rFonts w:ascii="Arial Narrow" w:hAnsi="Arial Narrow"/>
          <w:sz w:val="24"/>
          <w:szCs w:val="24"/>
          <w:lang w:eastAsia="hr-HR"/>
        </w:rPr>
        <w:t>134.583</w:t>
      </w:r>
      <w:r w:rsidRPr="00C0069E">
        <w:rPr>
          <w:rFonts w:ascii="Arial Narrow" w:hAnsi="Arial Narrow"/>
          <w:sz w:val="24"/>
          <w:szCs w:val="24"/>
          <w:lang w:eastAsia="hr-HR"/>
        </w:rPr>
        <w:t xml:space="preserve"> kune te financijske rashode u iznosu od </w:t>
      </w:r>
      <w:r w:rsidR="00B0612A">
        <w:rPr>
          <w:rFonts w:ascii="Arial Narrow" w:hAnsi="Arial Narrow"/>
          <w:sz w:val="24"/>
          <w:szCs w:val="24"/>
          <w:lang w:eastAsia="hr-HR"/>
        </w:rPr>
        <w:t>2.510</w:t>
      </w:r>
      <w:r w:rsidRPr="00C0069E">
        <w:rPr>
          <w:rFonts w:ascii="Arial Narrow" w:hAnsi="Arial Narrow"/>
          <w:sz w:val="24"/>
          <w:szCs w:val="24"/>
          <w:lang w:eastAsia="hr-HR"/>
        </w:rPr>
        <w:t xml:space="preserve"> kun</w:t>
      </w:r>
      <w:r w:rsidR="00B0612A">
        <w:rPr>
          <w:rFonts w:ascii="Arial Narrow" w:hAnsi="Arial Narrow"/>
          <w:sz w:val="24"/>
          <w:szCs w:val="24"/>
          <w:lang w:eastAsia="hr-HR"/>
        </w:rPr>
        <w:t>a</w:t>
      </w:r>
      <w:r w:rsidRPr="00C0069E">
        <w:rPr>
          <w:rFonts w:ascii="Arial Narrow" w:hAnsi="Arial Narrow"/>
          <w:sz w:val="24"/>
          <w:szCs w:val="24"/>
          <w:lang w:eastAsia="hr-HR"/>
        </w:rPr>
        <w:t xml:space="preserve">. </w:t>
      </w:r>
    </w:p>
    <w:p w14:paraId="6E695F1E" w14:textId="1B60C428" w:rsidR="00AE55E0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C0069E">
        <w:rPr>
          <w:rFonts w:ascii="Arial Narrow" w:hAnsi="Arial Narrow"/>
          <w:sz w:val="24"/>
          <w:szCs w:val="24"/>
          <w:lang w:eastAsia="hr-HR"/>
        </w:rPr>
        <w:t xml:space="preserve">A 1009-02 Unapređenje usluga za djecu u sustavu ranog i predškolskog odgoja i obrazovanja izvršenja u iznosu od </w:t>
      </w:r>
      <w:r w:rsidR="00C0069E">
        <w:rPr>
          <w:rFonts w:ascii="Arial Narrow" w:hAnsi="Arial Narrow"/>
          <w:sz w:val="24"/>
          <w:szCs w:val="24"/>
          <w:lang w:eastAsia="hr-HR"/>
        </w:rPr>
        <w:t>774.724</w:t>
      </w:r>
      <w:r w:rsidRPr="00C0069E">
        <w:rPr>
          <w:rFonts w:ascii="Arial Narrow" w:hAnsi="Arial Narrow"/>
          <w:sz w:val="24"/>
          <w:szCs w:val="24"/>
          <w:lang w:eastAsia="hr-HR"/>
        </w:rPr>
        <w:t xml:space="preserve"> kun</w:t>
      </w:r>
      <w:r w:rsidR="00C0069E">
        <w:rPr>
          <w:rFonts w:ascii="Arial Narrow" w:hAnsi="Arial Narrow"/>
          <w:sz w:val="24"/>
          <w:szCs w:val="24"/>
          <w:lang w:eastAsia="hr-HR"/>
        </w:rPr>
        <w:t>e</w:t>
      </w:r>
      <w:r w:rsidRPr="00C0069E">
        <w:rPr>
          <w:rFonts w:ascii="Arial Narrow" w:hAnsi="Arial Narrow"/>
          <w:sz w:val="24"/>
          <w:szCs w:val="24"/>
          <w:lang w:eastAsia="hr-HR"/>
        </w:rPr>
        <w:t xml:space="preserve"> odnosno </w:t>
      </w:r>
      <w:r w:rsidR="00C0069E">
        <w:rPr>
          <w:rFonts w:ascii="Arial Narrow" w:hAnsi="Arial Narrow"/>
          <w:sz w:val="24"/>
          <w:szCs w:val="24"/>
          <w:lang w:eastAsia="hr-HR"/>
        </w:rPr>
        <w:t>95,49</w:t>
      </w:r>
      <w:r w:rsidRPr="00C0069E">
        <w:rPr>
          <w:rFonts w:ascii="Arial Narrow" w:hAnsi="Arial Narrow"/>
          <w:sz w:val="24"/>
          <w:szCs w:val="24"/>
          <w:lang w:eastAsia="hr-HR"/>
        </w:rPr>
        <w:t xml:space="preserve">% izvornog plana. Aktivnost se odnosi na projekt „Ispunjenije djetinjstvo“ financiran iz fondova EU-e. Cilj ovog projekta omogućiti smjenski rad vrtića te rad vrtića uskladiti sa obiteljskim i poslovnim obvezama. Aktivnost se odnosni na financiranje plaća zaposlenika, osiguravanje toplog obroka, usluge logopeda, organiziranje radionica te opremanje nove kuhinje. </w:t>
      </w:r>
    </w:p>
    <w:p w14:paraId="6A51E196" w14:textId="635D2934" w:rsidR="00270F4D" w:rsidRPr="00C0069E" w:rsidRDefault="00ED5E59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sz w:val="24"/>
          <w:szCs w:val="24"/>
          <w:lang w:eastAsia="hr-HR"/>
        </w:rPr>
        <w:t xml:space="preserve">Kroz </w:t>
      </w:r>
      <w:r w:rsidR="00270F4D">
        <w:rPr>
          <w:rFonts w:ascii="Arial Narrow" w:hAnsi="Arial Narrow"/>
          <w:sz w:val="24"/>
          <w:szCs w:val="24"/>
          <w:lang w:eastAsia="hr-HR"/>
        </w:rPr>
        <w:t xml:space="preserve">aktivnost unaprjeđenja usluga za djecu u sustavu ranog i predškolskog odgoja i obrazovanja djeca sudjeluju u brojnim aktivnostima i imaju topli obrok te </w:t>
      </w:r>
      <w:r>
        <w:rPr>
          <w:rFonts w:ascii="Arial Narrow" w:hAnsi="Arial Narrow"/>
          <w:sz w:val="24"/>
          <w:szCs w:val="24"/>
          <w:lang w:eastAsia="hr-HR"/>
        </w:rPr>
        <w:t xml:space="preserve">je uveden produljen i smjenski rad vrtića. </w:t>
      </w:r>
      <w:r w:rsidR="00270F4D">
        <w:rPr>
          <w:rFonts w:ascii="Arial Narrow" w:hAnsi="Arial Narrow"/>
          <w:sz w:val="24"/>
          <w:szCs w:val="24"/>
          <w:lang w:eastAsia="hr-HR"/>
        </w:rPr>
        <w:t xml:space="preserve"> </w:t>
      </w:r>
      <w:r>
        <w:rPr>
          <w:rFonts w:ascii="Arial Narrow" w:hAnsi="Arial Narrow"/>
          <w:sz w:val="24"/>
          <w:szCs w:val="24"/>
          <w:lang w:eastAsia="hr-HR"/>
        </w:rPr>
        <w:t xml:space="preserve">Pokazatelj uspješnosti je broj djece u produljenom i smjenskom radu koji veći od 20 djece. </w:t>
      </w:r>
    </w:p>
    <w:p w14:paraId="22D76491" w14:textId="32EC727C" w:rsidR="00270F4D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C0069E">
        <w:rPr>
          <w:rFonts w:ascii="Arial Narrow" w:hAnsi="Arial Narrow"/>
          <w:sz w:val="24"/>
          <w:szCs w:val="24"/>
          <w:lang w:eastAsia="hr-HR"/>
        </w:rPr>
        <w:lastRenderedPageBreak/>
        <w:t xml:space="preserve">Program javne potrebe u školstvu ima jednu aktivnost sufinanciranje OŠ Stjepana Radića i izvršena je u iznosu od </w:t>
      </w:r>
      <w:r w:rsidR="00C0069E">
        <w:rPr>
          <w:rFonts w:ascii="Arial Narrow" w:hAnsi="Arial Narrow"/>
          <w:sz w:val="24"/>
          <w:szCs w:val="24"/>
          <w:lang w:eastAsia="hr-HR"/>
        </w:rPr>
        <w:t>151.902</w:t>
      </w:r>
      <w:r w:rsidRPr="00C0069E">
        <w:rPr>
          <w:rFonts w:ascii="Arial Narrow" w:hAnsi="Arial Narrow"/>
          <w:sz w:val="24"/>
          <w:szCs w:val="24"/>
          <w:lang w:eastAsia="hr-HR"/>
        </w:rPr>
        <w:t xml:space="preserve"> kuna odnosno </w:t>
      </w:r>
      <w:r w:rsidR="00C0069E">
        <w:rPr>
          <w:rFonts w:ascii="Arial Narrow" w:hAnsi="Arial Narrow"/>
          <w:sz w:val="24"/>
          <w:szCs w:val="24"/>
          <w:lang w:eastAsia="hr-HR"/>
        </w:rPr>
        <w:t>100</w:t>
      </w:r>
      <w:r w:rsidRPr="00C0069E">
        <w:rPr>
          <w:rFonts w:ascii="Arial Narrow" w:hAnsi="Arial Narrow"/>
          <w:sz w:val="24"/>
          <w:szCs w:val="24"/>
          <w:lang w:eastAsia="hr-HR"/>
        </w:rPr>
        <w:t xml:space="preserve">% izvornog plana a najviše se odnosi na financiranje dodatne nastave u OŠ Stjepana Radića Bibinje. </w:t>
      </w:r>
    </w:p>
    <w:p w14:paraId="66668E4A" w14:textId="77777777" w:rsidR="00AE55E0" w:rsidRPr="00E56238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E56238">
        <w:rPr>
          <w:rFonts w:ascii="Arial Narrow" w:hAnsi="Arial Narrow"/>
          <w:sz w:val="24"/>
          <w:szCs w:val="24"/>
          <w:lang w:eastAsia="hr-HR"/>
        </w:rPr>
        <w:t xml:space="preserve">Zakonske i druge pravne osnove </w:t>
      </w:r>
    </w:p>
    <w:p w14:paraId="076DA885" w14:textId="77777777" w:rsidR="00AE55E0" w:rsidRPr="00E56238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E56238">
        <w:rPr>
          <w:rFonts w:ascii="Arial Narrow" w:hAnsi="Arial Narrow"/>
          <w:sz w:val="24"/>
          <w:szCs w:val="24"/>
          <w:lang w:eastAsia="hr-HR"/>
        </w:rPr>
        <w:t>Statut Općine Bibinje, Zakon o predškolskom odgoju i naobrazbi, Odluka o izvršavanju Proračuna Općine Bibinje za 2019. godinu</w:t>
      </w:r>
    </w:p>
    <w:p w14:paraId="14E69E8E" w14:textId="77777777" w:rsidR="00AE55E0" w:rsidRPr="00E56238" w:rsidRDefault="00AE55E0" w:rsidP="00AE55E0">
      <w:pPr>
        <w:rPr>
          <w:rFonts w:ascii="Arial Narrow" w:hAnsi="Arial Narrow"/>
          <w:b/>
          <w:sz w:val="24"/>
          <w:szCs w:val="24"/>
          <w:lang w:eastAsia="hr-HR"/>
        </w:rPr>
      </w:pPr>
      <w:r w:rsidRPr="00E56238">
        <w:rPr>
          <w:rFonts w:ascii="Arial Narrow" w:hAnsi="Arial Narrow"/>
          <w:b/>
          <w:sz w:val="24"/>
          <w:szCs w:val="24"/>
          <w:lang w:eastAsia="hr-HR"/>
        </w:rPr>
        <w:t xml:space="preserve">Glava 020-05 Programska djelatnost kulture </w:t>
      </w:r>
    </w:p>
    <w:p w14:paraId="6E5D75D0" w14:textId="77777777" w:rsidR="00AE55E0" w:rsidRPr="00E56238" w:rsidRDefault="00AE55E0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  <w:r w:rsidRPr="00E56238">
        <w:rPr>
          <w:rFonts w:ascii="Arial Narrow" w:hAnsi="Arial Narrow"/>
          <w:sz w:val="24"/>
          <w:szCs w:val="24"/>
          <w:lang w:eastAsia="hr-HR"/>
        </w:rPr>
        <w:t>Glava programska djelatnost kulture ima jedan program javne potrebe u kulturi. Glavom javnih potreba u kulturi obuhvaćaju se svi oblici promicanja kulture i kulturnih djelatnosti koje doprinose razvitku i unaprjeđenju svekolikog kulturnog života na području Općine Bibinje. Javne potrebe u kulturi za koje se sredstva osiguravaju u ovoj glavi jesu kulturne djelatnosti i poslovi, akcije  i manifestacije u kulturi od posebnog značaja  za Općinu Bibinje.</w:t>
      </w:r>
    </w:p>
    <w:p w14:paraId="127DB0AA" w14:textId="77777777" w:rsidR="00AE55E0" w:rsidRPr="00771F34" w:rsidRDefault="00AE55E0" w:rsidP="00AE55E0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  <w:lang w:eastAsia="hr-HR"/>
        </w:rPr>
      </w:pPr>
    </w:p>
    <w:p w14:paraId="7AEF2639" w14:textId="69945C57" w:rsidR="00AE55E0" w:rsidRPr="001C5D0B" w:rsidRDefault="00AE55E0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  <w:r w:rsidRPr="001C5D0B">
        <w:rPr>
          <w:rFonts w:ascii="Arial Narrow" w:hAnsi="Arial Narrow"/>
          <w:sz w:val="24"/>
          <w:szCs w:val="24"/>
          <w:lang w:eastAsia="hr-HR"/>
        </w:rPr>
        <w:t xml:space="preserve">Program javne potrebe u kulturi izvršen je u iznosu od </w:t>
      </w:r>
      <w:r w:rsidR="001C5D0B">
        <w:rPr>
          <w:rFonts w:ascii="Arial Narrow" w:hAnsi="Arial Narrow"/>
          <w:sz w:val="24"/>
          <w:szCs w:val="24"/>
          <w:lang w:eastAsia="hr-HR"/>
        </w:rPr>
        <w:t xml:space="preserve">48.184 </w:t>
      </w:r>
      <w:r w:rsidRPr="001C5D0B">
        <w:rPr>
          <w:rFonts w:ascii="Arial Narrow" w:hAnsi="Arial Narrow"/>
          <w:sz w:val="24"/>
          <w:szCs w:val="24"/>
          <w:lang w:eastAsia="hr-HR"/>
        </w:rPr>
        <w:t>kun</w:t>
      </w:r>
      <w:r w:rsidR="001C5D0B">
        <w:rPr>
          <w:rFonts w:ascii="Arial Narrow" w:hAnsi="Arial Narrow"/>
          <w:sz w:val="24"/>
          <w:szCs w:val="24"/>
          <w:lang w:eastAsia="hr-HR"/>
        </w:rPr>
        <w:t>e</w:t>
      </w:r>
      <w:r w:rsidRPr="001C5D0B">
        <w:rPr>
          <w:rFonts w:ascii="Arial Narrow" w:hAnsi="Arial Narrow"/>
          <w:sz w:val="24"/>
          <w:szCs w:val="24"/>
          <w:lang w:eastAsia="hr-HR"/>
        </w:rPr>
        <w:t xml:space="preserve"> odnosno </w:t>
      </w:r>
      <w:r w:rsidR="001C5D0B">
        <w:rPr>
          <w:rFonts w:ascii="Arial Narrow" w:hAnsi="Arial Narrow"/>
          <w:sz w:val="24"/>
          <w:szCs w:val="24"/>
          <w:lang w:eastAsia="hr-HR"/>
        </w:rPr>
        <w:t>100</w:t>
      </w:r>
      <w:r w:rsidRPr="001C5D0B">
        <w:rPr>
          <w:rFonts w:ascii="Arial Narrow" w:hAnsi="Arial Narrow"/>
          <w:sz w:val="24"/>
          <w:szCs w:val="24"/>
          <w:lang w:eastAsia="hr-HR"/>
        </w:rPr>
        <w:t>% izvornog plana.. Program javnih potreba u kulturi dijeli se na dvije aktivnosti:</w:t>
      </w:r>
    </w:p>
    <w:p w14:paraId="2F5BF685" w14:textId="5EEE9E64" w:rsidR="001C5D0B" w:rsidRPr="00FF408B" w:rsidRDefault="00AE55E0" w:rsidP="001C5D0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1C5D0B">
        <w:rPr>
          <w:rFonts w:ascii="Arial Narrow" w:hAnsi="Arial Narrow"/>
          <w:sz w:val="24"/>
          <w:szCs w:val="24"/>
          <w:lang w:eastAsia="hr-HR"/>
        </w:rPr>
        <w:t xml:space="preserve">A 1011-01 Organiziranje kulturnih manifestacija izvršena je u iznosu od </w:t>
      </w:r>
      <w:r w:rsidR="001C5D0B">
        <w:rPr>
          <w:rFonts w:ascii="Arial Narrow" w:hAnsi="Arial Narrow"/>
          <w:sz w:val="24"/>
          <w:szCs w:val="24"/>
          <w:lang w:eastAsia="hr-HR"/>
        </w:rPr>
        <w:t>11.184</w:t>
      </w:r>
      <w:r w:rsidRPr="001C5D0B">
        <w:rPr>
          <w:rFonts w:ascii="Arial Narrow" w:hAnsi="Arial Narrow"/>
          <w:sz w:val="24"/>
          <w:szCs w:val="24"/>
          <w:lang w:eastAsia="hr-HR"/>
        </w:rPr>
        <w:t xml:space="preserve"> kuna odnosno </w:t>
      </w:r>
      <w:r w:rsidR="001C5D0B">
        <w:rPr>
          <w:rFonts w:ascii="Arial Narrow" w:hAnsi="Arial Narrow"/>
          <w:sz w:val="24"/>
          <w:szCs w:val="24"/>
          <w:lang w:eastAsia="hr-HR"/>
        </w:rPr>
        <w:t>100</w:t>
      </w:r>
      <w:r w:rsidRPr="001C5D0B">
        <w:rPr>
          <w:rFonts w:ascii="Arial Narrow" w:hAnsi="Arial Narrow"/>
          <w:sz w:val="24"/>
          <w:szCs w:val="24"/>
          <w:lang w:eastAsia="hr-HR"/>
        </w:rPr>
        <w:t>% izvornog plana</w:t>
      </w:r>
      <w:r w:rsidR="001C5D0B">
        <w:rPr>
          <w:rFonts w:ascii="Arial Narrow" w:hAnsi="Arial Narrow"/>
          <w:sz w:val="24"/>
          <w:szCs w:val="24"/>
          <w:lang w:eastAsia="hr-HR"/>
        </w:rPr>
        <w:t xml:space="preserve">. </w:t>
      </w:r>
      <w:r w:rsidR="001C5D0B" w:rsidRPr="00FF408B">
        <w:rPr>
          <w:rFonts w:ascii="Arial Narrow" w:hAnsi="Arial Narrow"/>
          <w:sz w:val="24"/>
          <w:szCs w:val="24"/>
          <w:lang w:eastAsia="hr-HR"/>
        </w:rPr>
        <w:t xml:space="preserve">Smanjenje </w:t>
      </w:r>
      <w:r w:rsidR="001C5D0B">
        <w:rPr>
          <w:rFonts w:ascii="Arial Narrow" w:hAnsi="Arial Narrow"/>
          <w:sz w:val="24"/>
          <w:szCs w:val="24"/>
          <w:lang w:eastAsia="hr-HR"/>
        </w:rPr>
        <w:t xml:space="preserve">ove aktivnosti u odnosu na prethodne godine </w:t>
      </w:r>
      <w:r w:rsidR="001C5D0B" w:rsidRPr="00FF408B">
        <w:rPr>
          <w:rFonts w:ascii="Arial Narrow" w:hAnsi="Arial Narrow"/>
          <w:sz w:val="24"/>
          <w:szCs w:val="24"/>
          <w:lang w:eastAsia="hr-HR"/>
        </w:rPr>
        <w:t xml:space="preserve"> uzrokovano je </w:t>
      </w:r>
      <w:r w:rsidR="001C5D0B" w:rsidRPr="00FF408B">
        <w:rPr>
          <w:rFonts w:ascii="Arial Narrow" w:hAnsi="Arial Narrow"/>
          <w:sz w:val="24"/>
          <w:szCs w:val="24"/>
        </w:rPr>
        <w:t>mjerama zabrane organiziranja manifestacija zbog epidemije bolesti COVID-19</w:t>
      </w:r>
      <w:r w:rsidR="001C5D0B">
        <w:rPr>
          <w:rFonts w:ascii="Arial Narrow" w:hAnsi="Arial Narrow"/>
          <w:sz w:val="24"/>
          <w:szCs w:val="24"/>
        </w:rPr>
        <w:t xml:space="preserve">. </w:t>
      </w:r>
    </w:p>
    <w:p w14:paraId="439A48F3" w14:textId="4DA5EA10" w:rsidR="00AE55E0" w:rsidRPr="001C5D0B" w:rsidRDefault="00AE55E0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</w:p>
    <w:p w14:paraId="10ED7004" w14:textId="77777777" w:rsidR="00AE55E0" w:rsidRPr="001C5D0B" w:rsidRDefault="00AE55E0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</w:p>
    <w:p w14:paraId="5AC46121" w14:textId="4A675FB0" w:rsidR="00AE55E0" w:rsidRDefault="00AE55E0" w:rsidP="00AE55E0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  <w:lang w:eastAsia="hr-HR"/>
        </w:rPr>
      </w:pPr>
      <w:r w:rsidRPr="001C5D0B">
        <w:rPr>
          <w:rFonts w:ascii="Arial Narrow" w:hAnsi="Arial Narrow"/>
          <w:sz w:val="24"/>
          <w:szCs w:val="24"/>
          <w:lang w:eastAsia="hr-HR"/>
        </w:rPr>
        <w:t xml:space="preserve">A 1011-02 Financiranje rada KUD-a i ostalih udruga izvršena je u iznos od </w:t>
      </w:r>
      <w:r w:rsidR="001C5D0B">
        <w:rPr>
          <w:rFonts w:ascii="Arial Narrow" w:hAnsi="Arial Narrow"/>
          <w:sz w:val="24"/>
          <w:szCs w:val="24"/>
          <w:lang w:eastAsia="hr-HR"/>
        </w:rPr>
        <w:t>37.000,00</w:t>
      </w:r>
      <w:r w:rsidRPr="001C5D0B">
        <w:rPr>
          <w:rFonts w:ascii="Arial Narrow" w:hAnsi="Arial Narrow"/>
          <w:sz w:val="24"/>
          <w:szCs w:val="24"/>
          <w:lang w:eastAsia="hr-HR"/>
        </w:rPr>
        <w:t xml:space="preserve"> kuna odnosno 100% izvornog plana</w:t>
      </w:r>
      <w:r w:rsidR="001C5D0B">
        <w:rPr>
          <w:rFonts w:ascii="Arial Narrow" w:hAnsi="Arial Narrow"/>
          <w:sz w:val="24"/>
          <w:szCs w:val="24"/>
          <w:lang w:eastAsia="hr-HR"/>
        </w:rPr>
        <w:t xml:space="preserve"> a odnosi se na donaciju KUD-u I.G. Kovačić u iznosu od 15.000 kuna, udruzi Aktivno Bibinje </w:t>
      </w:r>
      <w:r w:rsidR="00364439">
        <w:rPr>
          <w:rFonts w:ascii="Arial Narrow" w:hAnsi="Arial Narrow"/>
          <w:sz w:val="24"/>
          <w:szCs w:val="24"/>
          <w:lang w:eastAsia="hr-HR"/>
        </w:rPr>
        <w:t xml:space="preserve">u iznosu od </w:t>
      </w:r>
      <w:r w:rsidR="001C5D0B">
        <w:rPr>
          <w:rFonts w:ascii="Arial Narrow" w:hAnsi="Arial Narrow"/>
          <w:sz w:val="24"/>
          <w:szCs w:val="24"/>
          <w:lang w:eastAsia="hr-HR"/>
        </w:rPr>
        <w:t xml:space="preserve">2.000 kuna i </w:t>
      </w:r>
      <w:r w:rsidR="00364439">
        <w:rPr>
          <w:rFonts w:ascii="Arial Narrow" w:hAnsi="Arial Narrow"/>
          <w:sz w:val="24"/>
          <w:szCs w:val="24"/>
          <w:lang w:eastAsia="hr-HR"/>
        </w:rPr>
        <w:t>udruzi MOBA u iznosu od 20.000 kuna.</w:t>
      </w:r>
      <w:r w:rsidRPr="00771F34">
        <w:rPr>
          <w:rFonts w:ascii="Arial Narrow" w:hAnsi="Arial Narrow"/>
          <w:color w:val="FF0000"/>
          <w:sz w:val="24"/>
          <w:szCs w:val="24"/>
          <w:lang w:eastAsia="hr-HR"/>
        </w:rPr>
        <w:t xml:space="preserve"> </w:t>
      </w:r>
    </w:p>
    <w:p w14:paraId="7ACECB4F" w14:textId="49FC8535" w:rsidR="00364439" w:rsidRDefault="00364439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</w:p>
    <w:p w14:paraId="778F2F59" w14:textId="60F6BD7C" w:rsidR="00ED5E59" w:rsidRDefault="00ED5E59" w:rsidP="00AE55E0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Cs/>
          <w:sz w:val="24"/>
          <w:szCs w:val="24"/>
        </w:rPr>
        <w:t xml:space="preserve">Ciljevi nisu ostvareni </w:t>
      </w:r>
      <w:r w:rsidRPr="00614811">
        <w:rPr>
          <w:rFonts w:ascii="Arial Narrow" w:hAnsi="Arial Narrow"/>
          <w:iCs/>
          <w:sz w:val="24"/>
          <w:szCs w:val="24"/>
        </w:rPr>
        <w:t xml:space="preserve"> zbog mjera zabrane organiziranja manifestacija zbog epidemije bolesti COVID-19</w:t>
      </w:r>
      <w:r>
        <w:rPr>
          <w:rFonts w:ascii="Arial Narrow" w:hAnsi="Arial Narrow"/>
          <w:iCs/>
          <w:sz w:val="24"/>
          <w:szCs w:val="24"/>
        </w:rPr>
        <w:t xml:space="preserve"> te manjeg broja noćenja i posjećenosti nego prethodnih godina. </w:t>
      </w:r>
      <w:r>
        <w:rPr>
          <w:rFonts w:ascii="Arial Narrow" w:hAnsi="Arial Narrow"/>
          <w:i/>
          <w:sz w:val="24"/>
          <w:szCs w:val="24"/>
        </w:rPr>
        <w:t xml:space="preserve"> </w:t>
      </w:r>
    </w:p>
    <w:p w14:paraId="74D01BB4" w14:textId="77777777" w:rsidR="00ED5E59" w:rsidRPr="001C5D0B" w:rsidRDefault="00ED5E59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</w:p>
    <w:p w14:paraId="3ACF27EC" w14:textId="77777777" w:rsidR="00AE55E0" w:rsidRPr="00E56238" w:rsidRDefault="00AE55E0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  <w:r w:rsidRPr="00E56238">
        <w:rPr>
          <w:rFonts w:ascii="Arial Narrow" w:hAnsi="Arial Narrow"/>
          <w:sz w:val="24"/>
          <w:szCs w:val="24"/>
          <w:lang w:eastAsia="hr-HR"/>
        </w:rPr>
        <w:t xml:space="preserve">Zakonske i druge pravne osnove </w:t>
      </w:r>
    </w:p>
    <w:p w14:paraId="383B6905" w14:textId="77777777" w:rsidR="00AE55E0" w:rsidRPr="00E56238" w:rsidRDefault="00AE55E0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  <w:r w:rsidRPr="00E56238">
        <w:rPr>
          <w:rFonts w:ascii="Arial Narrow" w:hAnsi="Arial Narrow"/>
          <w:sz w:val="24"/>
          <w:szCs w:val="24"/>
          <w:lang w:eastAsia="hr-HR"/>
        </w:rPr>
        <w:t>Statut Općine Bibinje, Zakon o financiranju javnih potreba u kulturi</w:t>
      </w:r>
    </w:p>
    <w:p w14:paraId="5A38A7F3" w14:textId="77777777" w:rsidR="00AE55E0" w:rsidRPr="00771F34" w:rsidRDefault="00AE55E0" w:rsidP="00AE55E0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  <w:lang w:eastAsia="hr-HR"/>
        </w:rPr>
      </w:pPr>
    </w:p>
    <w:p w14:paraId="4A900BE3" w14:textId="77777777" w:rsidR="00AE55E0" w:rsidRPr="007F3063" w:rsidRDefault="00AE55E0" w:rsidP="00AE55E0">
      <w:pPr>
        <w:rPr>
          <w:rFonts w:ascii="Arial Narrow" w:hAnsi="Arial Narrow"/>
          <w:b/>
          <w:sz w:val="24"/>
          <w:szCs w:val="24"/>
          <w:lang w:eastAsia="hr-HR"/>
        </w:rPr>
      </w:pPr>
      <w:r w:rsidRPr="007F3063">
        <w:rPr>
          <w:rFonts w:ascii="Arial Narrow" w:hAnsi="Arial Narrow"/>
          <w:b/>
          <w:sz w:val="24"/>
          <w:szCs w:val="24"/>
          <w:lang w:eastAsia="hr-HR"/>
        </w:rPr>
        <w:t xml:space="preserve">Glava 020-06 programska djelatnost sporta </w:t>
      </w:r>
    </w:p>
    <w:p w14:paraId="1324F1EA" w14:textId="77777777" w:rsidR="00AE55E0" w:rsidRPr="007F3063" w:rsidRDefault="00AE55E0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  <w:r w:rsidRPr="007F3063">
        <w:rPr>
          <w:rFonts w:ascii="Arial Narrow" w:hAnsi="Arial Narrow"/>
          <w:sz w:val="24"/>
          <w:szCs w:val="24"/>
          <w:lang w:eastAsia="hr-HR"/>
        </w:rPr>
        <w:t xml:space="preserve">Glava programska djelatnost sporta ima jedan program organizacija rekreacije i sportske aktivnosti a provodi se kroz sufinanciranje sportskih udruga i sportskih klubova na području Općine Bibinje. </w:t>
      </w:r>
    </w:p>
    <w:p w14:paraId="0B614772" w14:textId="77777777" w:rsidR="00AE55E0" w:rsidRPr="007F3063" w:rsidRDefault="00AE55E0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  <w:r w:rsidRPr="007F3063">
        <w:rPr>
          <w:rFonts w:ascii="Arial Narrow" w:hAnsi="Arial Narrow"/>
          <w:sz w:val="24"/>
          <w:szCs w:val="24"/>
          <w:lang w:eastAsia="hr-HR"/>
        </w:rPr>
        <w:t xml:space="preserve">Djelatnost ovog program je poticanje i promicanje sporta provođenjem dijela programa tjelesne i zdravstvene kulture djece i  mladeži, treninzi, organiziranje i provođenje sustava domaćih i međunarodnih natjecanja, te opća i posebna zdravstvena zaštita sportaša, sportsko-rekreacijske aktivnosti građana, kao i druge sportske aktivnosti koje su u funkciji unapređenja i čuvanja zdravlja i postizanja psihofizičke sposobnosti pučanstva, stručni rad u sportu i izobrazba što su u funkciji realizacije rečenih javnih potreba. </w:t>
      </w:r>
    </w:p>
    <w:p w14:paraId="2DFEA50D" w14:textId="77777777" w:rsidR="00AE55E0" w:rsidRPr="00771F34" w:rsidRDefault="00AE55E0" w:rsidP="00AE55E0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  <w:lang w:eastAsia="hr-HR"/>
        </w:rPr>
      </w:pPr>
    </w:p>
    <w:p w14:paraId="1D0EA5E3" w14:textId="1A12BA12" w:rsidR="00AE55E0" w:rsidRDefault="00AE55E0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  <w:r w:rsidRPr="007F3063">
        <w:rPr>
          <w:rFonts w:ascii="Arial Narrow" w:hAnsi="Arial Narrow"/>
          <w:sz w:val="24"/>
          <w:szCs w:val="24"/>
          <w:lang w:eastAsia="hr-HR"/>
        </w:rPr>
        <w:t xml:space="preserve">A 1012-01 Financiranje rada sportskih udruga i sportaša izvršen je u iznosu od </w:t>
      </w:r>
      <w:r w:rsidR="007F3063">
        <w:rPr>
          <w:rFonts w:ascii="Arial Narrow" w:hAnsi="Arial Narrow"/>
          <w:sz w:val="24"/>
          <w:szCs w:val="24"/>
          <w:lang w:eastAsia="hr-HR"/>
        </w:rPr>
        <w:t>402.500</w:t>
      </w:r>
      <w:r w:rsidRPr="007F3063">
        <w:rPr>
          <w:rFonts w:ascii="Arial Narrow" w:hAnsi="Arial Narrow"/>
          <w:sz w:val="24"/>
          <w:szCs w:val="24"/>
          <w:lang w:eastAsia="hr-HR"/>
        </w:rPr>
        <w:t xml:space="preserve"> kunu što je </w:t>
      </w:r>
      <w:r w:rsidR="007F3063">
        <w:rPr>
          <w:rFonts w:ascii="Arial Narrow" w:hAnsi="Arial Narrow"/>
          <w:sz w:val="24"/>
          <w:szCs w:val="24"/>
          <w:lang w:eastAsia="hr-HR"/>
        </w:rPr>
        <w:t>96,41</w:t>
      </w:r>
      <w:r w:rsidRPr="007F3063">
        <w:rPr>
          <w:rFonts w:ascii="Arial Narrow" w:hAnsi="Arial Narrow"/>
          <w:sz w:val="24"/>
          <w:szCs w:val="24"/>
          <w:lang w:eastAsia="hr-HR"/>
        </w:rPr>
        <w:t xml:space="preserve">% izvornog plana a odnosi se na sufinanciranje sportskih udruga i sportskih klubova koji djeluju na području Općine Bibinje. </w:t>
      </w:r>
    </w:p>
    <w:p w14:paraId="44FA638F" w14:textId="77777777" w:rsidR="007F3063" w:rsidRPr="007F3063" w:rsidRDefault="007F3063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</w:p>
    <w:tbl>
      <w:tblPr>
        <w:tblW w:w="8464" w:type="dxa"/>
        <w:tblInd w:w="93" w:type="dxa"/>
        <w:tblLook w:val="00A0" w:firstRow="1" w:lastRow="0" w:firstColumn="1" w:lastColumn="0" w:noHBand="0" w:noVBand="0"/>
      </w:tblPr>
      <w:tblGrid>
        <w:gridCol w:w="920"/>
        <w:gridCol w:w="6183"/>
        <w:gridCol w:w="1361"/>
      </w:tblGrid>
      <w:tr w:rsidR="007F3063" w14:paraId="32F52D55" w14:textId="77777777" w:rsidTr="00364439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BB8FFA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8F2EC2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NK Bibinje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9E0A11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160.000</w:t>
            </w:r>
          </w:p>
        </w:tc>
      </w:tr>
      <w:tr w:rsidR="007F3063" w14:paraId="53D0C7C8" w14:textId="77777777" w:rsidTr="007F30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D8D2CD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1BA96F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Šahovski klub ''Goran''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48D2EE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67.000</w:t>
            </w:r>
          </w:p>
        </w:tc>
      </w:tr>
      <w:tr w:rsidR="007F3063" w14:paraId="77C0C16D" w14:textId="77777777" w:rsidTr="007F30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8D1CE6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9A63D8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proofErr w:type="spellStart"/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Mnk</w:t>
            </w:r>
            <w:proofErr w:type="spellEnd"/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 xml:space="preserve"> Tornado Bibinje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48575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7F3063" w14:paraId="314CE775" w14:textId="77777777" w:rsidTr="007F30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C97067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E9F85C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Udruga veterana NK Bibinje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00502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15.000</w:t>
            </w:r>
          </w:p>
        </w:tc>
      </w:tr>
      <w:tr w:rsidR="007F3063" w14:paraId="2BA44524" w14:textId="77777777" w:rsidTr="007F30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584326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lastRenderedPageBreak/>
              <w:t>3811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150C3B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ŽOK Bibinje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56A27D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30.000</w:t>
            </w:r>
          </w:p>
        </w:tc>
      </w:tr>
      <w:tr w:rsidR="007F3063" w14:paraId="23DF69EC" w14:textId="77777777" w:rsidTr="007F30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FD501A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F6EBB9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Planinarsko društvo ''</w:t>
            </w:r>
            <w:proofErr w:type="spellStart"/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Babulj</w:t>
            </w:r>
            <w:proofErr w:type="spellEnd"/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''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09BA2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11.250</w:t>
            </w:r>
          </w:p>
        </w:tc>
      </w:tr>
      <w:tr w:rsidR="007F3063" w14:paraId="3DC83839" w14:textId="77777777" w:rsidTr="007F30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EF54EE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9A1245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Klub odbojke na pijesku Bibinje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DEDCA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11.250</w:t>
            </w:r>
          </w:p>
        </w:tc>
      </w:tr>
      <w:tr w:rsidR="007F3063" w14:paraId="48BFDDD9" w14:textId="77777777" w:rsidTr="007F30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21B461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11C6A1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Košarkaški klub Bibinje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09243C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18.750</w:t>
            </w:r>
          </w:p>
        </w:tc>
      </w:tr>
      <w:tr w:rsidR="007F3063" w14:paraId="2A5EB820" w14:textId="77777777" w:rsidTr="007F30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AEB5B0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07CCAF8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Ronilački klub Sv. Roko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1777E1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11.250</w:t>
            </w:r>
          </w:p>
        </w:tc>
      </w:tr>
      <w:tr w:rsidR="007F3063" w14:paraId="20E6B090" w14:textId="77777777" w:rsidTr="007F30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CA5EBF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A184EE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Karate klub Petrina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0333CB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26.250</w:t>
            </w:r>
          </w:p>
        </w:tc>
      </w:tr>
      <w:tr w:rsidR="007F3063" w14:paraId="2FD3C4DD" w14:textId="77777777" w:rsidTr="007F3063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105888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21398B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Sportsko ribolovno društvo Bibinje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70B28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bCs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hr-HR"/>
              </w:rPr>
              <w:t>18.750</w:t>
            </w:r>
          </w:p>
        </w:tc>
      </w:tr>
      <w:tr w:rsidR="007F3063" w14:paraId="5D8E6DEF" w14:textId="77777777" w:rsidTr="007F3063">
        <w:trPr>
          <w:trHeight w:val="3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342920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1A9E78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sz w:val="20"/>
                <w:szCs w:val="20"/>
                <w:lang w:eastAsia="hr-HR"/>
              </w:rPr>
              <w:t>OK Bibinje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E9031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sz w:val="20"/>
                <w:szCs w:val="20"/>
                <w:lang w:eastAsia="hr-HR"/>
              </w:rPr>
              <w:t>30.000</w:t>
            </w:r>
          </w:p>
        </w:tc>
      </w:tr>
      <w:tr w:rsidR="007F3063" w14:paraId="01E7AD71" w14:textId="77777777" w:rsidTr="007F3063">
        <w:trPr>
          <w:trHeight w:val="300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1C4443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373A166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sz w:val="20"/>
                <w:szCs w:val="20"/>
                <w:lang w:eastAsia="hr-HR"/>
              </w:rPr>
              <w:t>Klub jedrenja na dasci Bibinje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7DF8A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sz w:val="20"/>
                <w:szCs w:val="20"/>
                <w:lang w:eastAsia="hr-HR"/>
              </w:rPr>
              <w:t>0</w:t>
            </w:r>
          </w:p>
        </w:tc>
      </w:tr>
      <w:tr w:rsidR="007F3063" w14:paraId="35D6864A" w14:textId="77777777" w:rsidTr="007F3063">
        <w:trPr>
          <w:trHeight w:val="300"/>
        </w:trPr>
        <w:tc>
          <w:tcPr>
            <w:tcW w:w="9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F588B7" w14:textId="77777777" w:rsidR="007F3063" w:rsidRPr="00A6168B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61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8AA4F4" w14:textId="77777777" w:rsidR="007F3063" w:rsidRPr="00A6168B" w:rsidRDefault="007F3063" w:rsidP="007F3063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A6168B">
              <w:rPr>
                <w:rFonts w:ascii="Arial Narrow" w:hAnsi="Arial Narrow"/>
                <w:sz w:val="20"/>
                <w:szCs w:val="20"/>
                <w:lang w:eastAsia="hr-HR"/>
              </w:rPr>
              <w:t>Ostale tekuće donacije sportskim društvima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8B938" w14:textId="77777777" w:rsidR="007F3063" w:rsidRDefault="007F3063" w:rsidP="007F3063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sz w:val="20"/>
                <w:szCs w:val="20"/>
                <w:lang w:eastAsia="hr-HR"/>
              </w:rPr>
              <w:t>3.000</w:t>
            </w:r>
          </w:p>
        </w:tc>
      </w:tr>
    </w:tbl>
    <w:p w14:paraId="2A92DE2F" w14:textId="4175950B" w:rsidR="00AE55E0" w:rsidRDefault="00AE55E0" w:rsidP="00AE55E0">
      <w:pPr>
        <w:spacing w:after="0" w:line="240" w:lineRule="auto"/>
        <w:jc w:val="both"/>
        <w:rPr>
          <w:rFonts w:ascii="Arial Narrow" w:hAnsi="Arial Narrow"/>
          <w:color w:val="FF0000"/>
          <w:sz w:val="24"/>
          <w:szCs w:val="24"/>
          <w:lang w:eastAsia="hr-HR"/>
        </w:rPr>
      </w:pPr>
    </w:p>
    <w:p w14:paraId="56E3A5DB" w14:textId="4FCD4347" w:rsidR="00270F4D" w:rsidRDefault="00270F4D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sz w:val="24"/>
          <w:szCs w:val="24"/>
          <w:lang w:eastAsia="hr-HR"/>
        </w:rPr>
        <w:t xml:space="preserve">Pokazatelj uspješnosti ovog programa je aktiviranje djece i mladeži u sport te ostvarivanje sportskih uspjeha kroz 2020. godinu aktivno je bilo oko 240 djece i mladih u sportu na području općine Bibinje. </w:t>
      </w:r>
    </w:p>
    <w:p w14:paraId="109ACD71" w14:textId="77777777" w:rsidR="00270F4D" w:rsidRPr="00270F4D" w:rsidRDefault="00270F4D" w:rsidP="00AE55E0">
      <w:pPr>
        <w:spacing w:after="0" w:line="240" w:lineRule="auto"/>
        <w:jc w:val="both"/>
        <w:rPr>
          <w:rFonts w:ascii="Arial Narrow" w:hAnsi="Arial Narrow"/>
          <w:sz w:val="24"/>
          <w:szCs w:val="24"/>
          <w:lang w:eastAsia="hr-HR"/>
        </w:rPr>
      </w:pPr>
    </w:p>
    <w:p w14:paraId="5F62879D" w14:textId="77777777" w:rsidR="00AE55E0" w:rsidRPr="007F3063" w:rsidRDefault="00AE55E0" w:rsidP="00AE55E0">
      <w:pPr>
        <w:spacing w:after="0"/>
        <w:rPr>
          <w:rFonts w:ascii="Arial Narrow" w:hAnsi="Arial Narrow"/>
          <w:sz w:val="24"/>
          <w:szCs w:val="24"/>
          <w:lang w:eastAsia="hr-HR"/>
        </w:rPr>
      </w:pPr>
      <w:r w:rsidRPr="007F3063">
        <w:rPr>
          <w:rFonts w:ascii="Arial Narrow" w:hAnsi="Arial Narrow"/>
          <w:sz w:val="24"/>
          <w:szCs w:val="24"/>
          <w:lang w:eastAsia="hr-HR"/>
        </w:rPr>
        <w:t xml:space="preserve">Zakonske i druge pravne osnove </w:t>
      </w:r>
    </w:p>
    <w:p w14:paraId="61F98A5E" w14:textId="77777777" w:rsidR="00AE55E0" w:rsidRPr="007F3063" w:rsidRDefault="00AE55E0" w:rsidP="00AE55E0">
      <w:pPr>
        <w:spacing w:after="0"/>
        <w:rPr>
          <w:rFonts w:ascii="Arial Narrow" w:hAnsi="Arial Narrow"/>
          <w:sz w:val="24"/>
          <w:szCs w:val="24"/>
          <w:lang w:eastAsia="hr-HR"/>
        </w:rPr>
      </w:pPr>
      <w:r w:rsidRPr="007F3063">
        <w:rPr>
          <w:rFonts w:ascii="Arial Narrow" w:hAnsi="Arial Narrow"/>
          <w:sz w:val="24"/>
          <w:szCs w:val="24"/>
          <w:lang w:eastAsia="hr-HR"/>
        </w:rPr>
        <w:t>Zakon o sportu, Statut Općine Bibinje</w:t>
      </w:r>
    </w:p>
    <w:p w14:paraId="4446D980" w14:textId="450EC972" w:rsidR="00AE55E0" w:rsidRPr="00771F34" w:rsidRDefault="00AE55E0" w:rsidP="00AE55E0">
      <w:pPr>
        <w:spacing w:after="0"/>
        <w:rPr>
          <w:rFonts w:ascii="Arial Narrow" w:hAnsi="Arial Narrow"/>
          <w:color w:val="FF0000"/>
          <w:sz w:val="24"/>
          <w:szCs w:val="24"/>
          <w:lang w:eastAsia="hr-HR"/>
        </w:rPr>
      </w:pPr>
      <w:r w:rsidRPr="00771F34">
        <w:rPr>
          <w:rFonts w:ascii="Arial Narrow" w:hAnsi="Arial Narrow"/>
          <w:color w:val="FF0000"/>
          <w:sz w:val="24"/>
          <w:szCs w:val="24"/>
          <w:lang w:eastAsia="hr-HR"/>
        </w:rPr>
        <w:t xml:space="preserve">. </w:t>
      </w:r>
    </w:p>
    <w:p w14:paraId="6D12E7C0" w14:textId="77777777" w:rsidR="00AE55E0" w:rsidRPr="00E56238" w:rsidRDefault="00AE55E0" w:rsidP="00AE55E0">
      <w:pPr>
        <w:rPr>
          <w:rFonts w:ascii="Arial Narrow" w:hAnsi="Arial Narrow"/>
          <w:b/>
          <w:sz w:val="24"/>
          <w:szCs w:val="24"/>
          <w:lang w:eastAsia="hr-HR"/>
        </w:rPr>
      </w:pPr>
      <w:r w:rsidRPr="00E56238">
        <w:rPr>
          <w:rFonts w:ascii="Arial Narrow" w:hAnsi="Arial Narrow"/>
          <w:b/>
          <w:sz w:val="24"/>
          <w:szCs w:val="24"/>
          <w:lang w:eastAsia="hr-HR"/>
        </w:rPr>
        <w:t xml:space="preserve">Glava 020-07 Programska djelatnost socijalne skrbi </w:t>
      </w:r>
    </w:p>
    <w:p w14:paraId="0951B24E" w14:textId="77777777" w:rsidR="00AE55E0" w:rsidRPr="00E56238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E56238">
        <w:rPr>
          <w:rFonts w:ascii="Arial Narrow" w:hAnsi="Arial Narrow"/>
          <w:sz w:val="24"/>
          <w:szCs w:val="24"/>
          <w:lang w:eastAsia="hr-HR"/>
        </w:rPr>
        <w:t xml:space="preserve">Glava programska djelatnost socijalne skrbi  ima jedan program socijalna skrb i pomoći. U ovoj glavi osigurana su sredstva za potrebe socijalne skrbi koja će se koristiti za osiguranje i pomoć socijalno ugroženom stanovništvu Općine Bibinje, kao i sredstva za davanje pomoći udrugama građana. </w:t>
      </w:r>
    </w:p>
    <w:p w14:paraId="1E321010" w14:textId="708EB8B3" w:rsidR="00AE55E0" w:rsidRPr="00364439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364439">
        <w:rPr>
          <w:rFonts w:ascii="Arial Narrow" w:hAnsi="Arial Narrow"/>
          <w:sz w:val="24"/>
          <w:szCs w:val="24"/>
          <w:lang w:eastAsia="hr-HR"/>
        </w:rPr>
        <w:t xml:space="preserve">Program socijalna skrb i pomoći izvršen je u iznosu od </w:t>
      </w:r>
      <w:r w:rsidR="00364439">
        <w:rPr>
          <w:rFonts w:ascii="Arial Narrow" w:hAnsi="Arial Narrow"/>
          <w:sz w:val="24"/>
          <w:szCs w:val="24"/>
          <w:lang w:eastAsia="hr-HR"/>
        </w:rPr>
        <w:t>1.467.836</w:t>
      </w:r>
      <w:r w:rsidRPr="00364439">
        <w:rPr>
          <w:rFonts w:ascii="Arial Narrow" w:hAnsi="Arial Narrow"/>
          <w:sz w:val="24"/>
          <w:szCs w:val="24"/>
          <w:lang w:eastAsia="hr-HR"/>
        </w:rPr>
        <w:t xml:space="preserve"> kuna odnosno </w:t>
      </w:r>
      <w:r w:rsidR="00364439">
        <w:rPr>
          <w:rFonts w:ascii="Arial Narrow" w:hAnsi="Arial Narrow"/>
          <w:sz w:val="24"/>
          <w:szCs w:val="24"/>
          <w:lang w:eastAsia="hr-HR"/>
        </w:rPr>
        <w:t>97.16</w:t>
      </w:r>
      <w:r w:rsidRPr="00364439">
        <w:rPr>
          <w:rFonts w:ascii="Arial Narrow" w:hAnsi="Arial Narrow"/>
          <w:sz w:val="24"/>
          <w:szCs w:val="24"/>
          <w:lang w:eastAsia="hr-HR"/>
        </w:rPr>
        <w:t>% izvornog plana. Program socijalna skrb i pomoć podijeljen je u</w:t>
      </w:r>
      <w:r w:rsidR="00364439" w:rsidRPr="00364439">
        <w:rPr>
          <w:rFonts w:ascii="Arial Narrow" w:hAnsi="Arial Narrow"/>
          <w:sz w:val="24"/>
          <w:szCs w:val="24"/>
          <w:lang w:eastAsia="hr-HR"/>
        </w:rPr>
        <w:t xml:space="preserve"> </w:t>
      </w:r>
      <w:r w:rsidR="00364439">
        <w:rPr>
          <w:rFonts w:ascii="Arial Narrow" w:hAnsi="Arial Narrow"/>
          <w:sz w:val="24"/>
          <w:szCs w:val="24"/>
          <w:lang w:eastAsia="hr-HR"/>
        </w:rPr>
        <w:t xml:space="preserve">četiri </w:t>
      </w:r>
      <w:r w:rsidRPr="00364439">
        <w:rPr>
          <w:rFonts w:ascii="Arial Narrow" w:hAnsi="Arial Narrow"/>
          <w:sz w:val="24"/>
          <w:szCs w:val="24"/>
          <w:lang w:eastAsia="hr-HR"/>
        </w:rPr>
        <w:t xml:space="preserve"> aktivnosti:</w:t>
      </w:r>
    </w:p>
    <w:p w14:paraId="019EF25C" w14:textId="611EF3CF" w:rsidR="00AE55E0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364439">
        <w:rPr>
          <w:rFonts w:ascii="Arial Narrow" w:hAnsi="Arial Narrow"/>
          <w:sz w:val="24"/>
          <w:szCs w:val="24"/>
          <w:lang w:eastAsia="hr-HR"/>
        </w:rPr>
        <w:t>A 1013-01 Naknade građanima i kućanstvima iz proračuna izvršena je u iznosu od 1</w:t>
      </w:r>
      <w:r w:rsidR="00364439">
        <w:rPr>
          <w:rFonts w:ascii="Arial Narrow" w:hAnsi="Arial Narrow"/>
          <w:sz w:val="24"/>
          <w:szCs w:val="24"/>
          <w:lang w:eastAsia="hr-HR"/>
        </w:rPr>
        <w:t>.321.973</w:t>
      </w:r>
      <w:r w:rsidRPr="00364439">
        <w:rPr>
          <w:rFonts w:ascii="Arial Narrow" w:hAnsi="Arial Narrow"/>
          <w:sz w:val="24"/>
          <w:szCs w:val="24"/>
          <w:lang w:eastAsia="hr-HR"/>
        </w:rPr>
        <w:t xml:space="preserve"> kun</w:t>
      </w:r>
      <w:r w:rsidR="00364439">
        <w:rPr>
          <w:rFonts w:ascii="Arial Narrow" w:hAnsi="Arial Narrow"/>
          <w:sz w:val="24"/>
          <w:szCs w:val="24"/>
          <w:lang w:eastAsia="hr-HR"/>
        </w:rPr>
        <w:t xml:space="preserve">e </w:t>
      </w:r>
      <w:r w:rsidRPr="00364439">
        <w:rPr>
          <w:rFonts w:ascii="Arial Narrow" w:hAnsi="Arial Narrow"/>
          <w:sz w:val="24"/>
          <w:szCs w:val="24"/>
          <w:lang w:eastAsia="hr-HR"/>
        </w:rPr>
        <w:t xml:space="preserve">odnosno </w:t>
      </w:r>
      <w:r w:rsidR="00364439">
        <w:rPr>
          <w:rFonts w:ascii="Arial Narrow" w:hAnsi="Arial Narrow"/>
          <w:sz w:val="24"/>
          <w:szCs w:val="24"/>
          <w:lang w:eastAsia="hr-HR"/>
        </w:rPr>
        <w:t>97,53</w:t>
      </w:r>
      <w:r w:rsidRPr="00364439">
        <w:rPr>
          <w:rFonts w:ascii="Arial Narrow" w:hAnsi="Arial Narrow"/>
          <w:sz w:val="24"/>
          <w:szCs w:val="24"/>
          <w:lang w:eastAsia="hr-HR"/>
        </w:rPr>
        <w:t>% izvornog plana. Odnosi se na jednokratne financijske pomoći (</w:t>
      </w:r>
      <w:r w:rsidR="00364439">
        <w:rPr>
          <w:rFonts w:ascii="Arial Narrow" w:hAnsi="Arial Narrow"/>
          <w:sz w:val="24"/>
          <w:szCs w:val="24"/>
          <w:lang w:eastAsia="hr-HR"/>
        </w:rPr>
        <w:t>102.313</w:t>
      </w:r>
      <w:r w:rsidRPr="00364439">
        <w:rPr>
          <w:rFonts w:ascii="Arial Narrow" w:hAnsi="Arial Narrow"/>
          <w:sz w:val="24"/>
          <w:szCs w:val="24"/>
          <w:lang w:eastAsia="hr-HR"/>
        </w:rPr>
        <w:t xml:space="preserve"> kuna), stipendije (</w:t>
      </w:r>
      <w:r w:rsidR="00364439">
        <w:rPr>
          <w:rFonts w:ascii="Arial Narrow" w:hAnsi="Arial Narrow"/>
          <w:sz w:val="24"/>
          <w:szCs w:val="24"/>
          <w:lang w:eastAsia="hr-HR"/>
        </w:rPr>
        <w:t>351.000</w:t>
      </w:r>
      <w:r w:rsidRPr="00364439">
        <w:rPr>
          <w:rFonts w:ascii="Arial Narrow" w:hAnsi="Arial Narrow"/>
          <w:sz w:val="24"/>
          <w:szCs w:val="24"/>
          <w:lang w:eastAsia="hr-HR"/>
        </w:rPr>
        <w:t xml:space="preserve"> kuna), naknade za novorođeno djecu (2</w:t>
      </w:r>
      <w:r w:rsidR="00364439">
        <w:rPr>
          <w:rFonts w:ascii="Arial Narrow" w:hAnsi="Arial Narrow"/>
          <w:sz w:val="24"/>
          <w:szCs w:val="24"/>
          <w:lang w:eastAsia="hr-HR"/>
        </w:rPr>
        <w:t>55</w:t>
      </w:r>
      <w:r w:rsidRPr="00364439">
        <w:rPr>
          <w:rFonts w:ascii="Arial Narrow" w:hAnsi="Arial Narrow"/>
          <w:sz w:val="24"/>
          <w:szCs w:val="24"/>
          <w:lang w:eastAsia="hr-HR"/>
        </w:rPr>
        <w:t>.000 kuna), sufinanciranje cijene vrtića Mala Terezija (</w:t>
      </w:r>
      <w:r w:rsidR="00364439">
        <w:rPr>
          <w:rFonts w:ascii="Arial Narrow" w:hAnsi="Arial Narrow"/>
          <w:sz w:val="24"/>
          <w:szCs w:val="24"/>
          <w:lang w:eastAsia="hr-HR"/>
        </w:rPr>
        <w:t>257.4</w:t>
      </w:r>
      <w:r w:rsidRPr="00364439">
        <w:rPr>
          <w:rFonts w:ascii="Arial Narrow" w:hAnsi="Arial Narrow"/>
          <w:sz w:val="24"/>
          <w:szCs w:val="24"/>
          <w:lang w:eastAsia="hr-HR"/>
        </w:rPr>
        <w:t>00 kuna), sufinanciranje cijene vrtića Latica (</w:t>
      </w:r>
      <w:r w:rsidR="00364439">
        <w:rPr>
          <w:rFonts w:ascii="Arial Narrow" w:hAnsi="Arial Narrow"/>
          <w:sz w:val="24"/>
          <w:szCs w:val="24"/>
          <w:lang w:eastAsia="hr-HR"/>
        </w:rPr>
        <w:t>15.000</w:t>
      </w:r>
      <w:r w:rsidRPr="00364439">
        <w:rPr>
          <w:rFonts w:ascii="Arial Narrow" w:hAnsi="Arial Narrow"/>
          <w:sz w:val="24"/>
          <w:szCs w:val="24"/>
          <w:lang w:eastAsia="hr-HR"/>
        </w:rPr>
        <w:t xml:space="preserve"> kuna), sufinanciranje cijene prijevoza (</w:t>
      </w:r>
      <w:r w:rsidR="00364439">
        <w:rPr>
          <w:rFonts w:ascii="Arial Narrow" w:hAnsi="Arial Narrow"/>
          <w:sz w:val="24"/>
          <w:szCs w:val="24"/>
          <w:lang w:eastAsia="hr-HR"/>
        </w:rPr>
        <w:t>54</w:t>
      </w:r>
      <w:r w:rsidRPr="00364439">
        <w:rPr>
          <w:rFonts w:ascii="Arial Narrow" w:hAnsi="Arial Narrow"/>
          <w:sz w:val="24"/>
          <w:szCs w:val="24"/>
          <w:lang w:eastAsia="hr-HR"/>
        </w:rPr>
        <w:t>.000 kuna), sufinanciranje udžbenika (</w:t>
      </w:r>
      <w:r w:rsidR="00364439">
        <w:rPr>
          <w:rFonts w:ascii="Arial Narrow" w:hAnsi="Arial Narrow"/>
          <w:sz w:val="24"/>
          <w:szCs w:val="24"/>
          <w:lang w:eastAsia="hr-HR"/>
        </w:rPr>
        <w:t>229.197</w:t>
      </w:r>
      <w:r w:rsidRPr="00364439">
        <w:rPr>
          <w:rFonts w:ascii="Arial Narrow" w:hAnsi="Arial Narrow"/>
          <w:sz w:val="24"/>
          <w:szCs w:val="24"/>
          <w:lang w:eastAsia="hr-HR"/>
        </w:rPr>
        <w:t>kuna), pomoć obiteljima poginulih branitelja (5.000 kuna), naknada za ogrjev  (</w:t>
      </w:r>
      <w:r w:rsidR="00364439">
        <w:rPr>
          <w:rFonts w:ascii="Arial Narrow" w:hAnsi="Arial Narrow"/>
          <w:sz w:val="24"/>
          <w:szCs w:val="24"/>
          <w:lang w:eastAsia="hr-HR"/>
        </w:rPr>
        <w:t>15.750</w:t>
      </w:r>
      <w:r w:rsidRPr="00364439">
        <w:rPr>
          <w:rFonts w:ascii="Arial Narrow" w:hAnsi="Arial Narrow"/>
          <w:sz w:val="24"/>
          <w:szCs w:val="24"/>
          <w:lang w:eastAsia="hr-HR"/>
        </w:rPr>
        <w:t xml:space="preserve"> kuna) te ostale pomoći (</w:t>
      </w:r>
      <w:r w:rsidR="00364439">
        <w:rPr>
          <w:rFonts w:ascii="Arial Narrow" w:hAnsi="Arial Narrow"/>
          <w:sz w:val="24"/>
          <w:szCs w:val="24"/>
          <w:lang w:eastAsia="hr-HR"/>
        </w:rPr>
        <w:t xml:space="preserve">37.313 </w:t>
      </w:r>
      <w:r w:rsidRPr="00364439">
        <w:rPr>
          <w:rFonts w:ascii="Arial Narrow" w:hAnsi="Arial Narrow"/>
          <w:sz w:val="24"/>
          <w:szCs w:val="24"/>
          <w:lang w:eastAsia="hr-HR"/>
        </w:rPr>
        <w:t xml:space="preserve">kuna). </w:t>
      </w:r>
      <w:r w:rsidR="00B57AE7">
        <w:rPr>
          <w:rFonts w:ascii="Arial Narrow" w:hAnsi="Arial Narrow"/>
          <w:sz w:val="24"/>
          <w:szCs w:val="24"/>
          <w:lang w:eastAsia="hr-HR"/>
        </w:rPr>
        <w:t xml:space="preserve"> </w:t>
      </w:r>
    </w:p>
    <w:p w14:paraId="7B7C341F" w14:textId="3442DB43" w:rsidR="00B57AE7" w:rsidRPr="00364439" w:rsidRDefault="00B57AE7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sz w:val="24"/>
          <w:szCs w:val="24"/>
          <w:lang w:eastAsia="hr-HR"/>
        </w:rPr>
        <w:t xml:space="preserve">Pokazatelj uspješnosti ove aktivnosti su broj mještana kojima se financijski pomaže kroz razne socijalne mjere i aktivnosti. </w:t>
      </w:r>
      <w:proofErr w:type="spellStart"/>
      <w:r>
        <w:rPr>
          <w:rFonts w:ascii="Arial Narrow" w:hAnsi="Arial Narrow"/>
          <w:sz w:val="24"/>
          <w:szCs w:val="24"/>
          <w:lang w:eastAsia="hr-HR"/>
        </w:rPr>
        <w:t>CIlj</w:t>
      </w:r>
      <w:proofErr w:type="spellEnd"/>
      <w:r>
        <w:rPr>
          <w:rFonts w:ascii="Arial Narrow" w:hAnsi="Arial Narrow"/>
          <w:sz w:val="24"/>
          <w:szCs w:val="24"/>
          <w:lang w:eastAsia="hr-HR"/>
        </w:rPr>
        <w:t xml:space="preserve"> je bio 380 mještana koji je ostvaren. </w:t>
      </w:r>
    </w:p>
    <w:p w14:paraId="49C45DE8" w14:textId="5AB6B55A" w:rsidR="00AE55E0" w:rsidRPr="00364439" w:rsidRDefault="00AE55E0" w:rsidP="00AE55E0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364439">
        <w:rPr>
          <w:rFonts w:ascii="Arial Narrow" w:hAnsi="Arial Narrow"/>
          <w:sz w:val="24"/>
          <w:szCs w:val="24"/>
          <w:lang w:eastAsia="hr-HR"/>
        </w:rPr>
        <w:t xml:space="preserve">A 1013-02 Financiranje rada udruga izvršen je u iznosu od </w:t>
      </w:r>
      <w:r w:rsidR="00364439">
        <w:rPr>
          <w:rFonts w:ascii="Arial Narrow" w:hAnsi="Arial Narrow"/>
          <w:sz w:val="24"/>
          <w:szCs w:val="24"/>
          <w:lang w:eastAsia="hr-HR"/>
        </w:rPr>
        <w:t>88.750</w:t>
      </w:r>
      <w:r w:rsidRPr="00364439">
        <w:rPr>
          <w:rFonts w:ascii="Arial Narrow" w:hAnsi="Arial Narrow"/>
          <w:sz w:val="24"/>
          <w:szCs w:val="24"/>
          <w:lang w:eastAsia="hr-HR"/>
        </w:rPr>
        <w:t xml:space="preserve"> kuna odnosno </w:t>
      </w:r>
      <w:r w:rsidR="00364439">
        <w:rPr>
          <w:rFonts w:ascii="Arial Narrow" w:hAnsi="Arial Narrow"/>
          <w:sz w:val="24"/>
          <w:szCs w:val="24"/>
          <w:lang w:eastAsia="hr-HR"/>
        </w:rPr>
        <w:t>88,09</w:t>
      </w:r>
      <w:r w:rsidRPr="00364439">
        <w:rPr>
          <w:rFonts w:ascii="Arial Narrow" w:hAnsi="Arial Narrow"/>
          <w:sz w:val="24"/>
          <w:szCs w:val="24"/>
          <w:lang w:eastAsia="hr-HR"/>
        </w:rPr>
        <w:t>% izvornog plana.</w:t>
      </w:r>
    </w:p>
    <w:tbl>
      <w:tblPr>
        <w:tblW w:w="0" w:type="auto"/>
        <w:tblInd w:w="93" w:type="dxa"/>
        <w:tblLook w:val="00A0" w:firstRow="1" w:lastRow="0" w:firstColumn="1" w:lastColumn="0" w:noHBand="0" w:noVBand="0"/>
      </w:tblPr>
      <w:tblGrid>
        <w:gridCol w:w="5780"/>
        <w:gridCol w:w="1417"/>
      </w:tblGrid>
      <w:tr w:rsidR="00364439" w:rsidRPr="009C227A" w14:paraId="4E58F316" w14:textId="77777777" w:rsidTr="00364439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68F91" w14:textId="77777777" w:rsidR="00364439" w:rsidRPr="008C5DF7" w:rsidRDefault="00364439" w:rsidP="00270F4D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8C5DF7">
              <w:rPr>
                <w:rFonts w:ascii="Arial Narrow" w:hAnsi="Arial Narrow"/>
                <w:sz w:val="20"/>
                <w:szCs w:val="20"/>
                <w:lang w:eastAsia="hr-HR"/>
              </w:rPr>
              <w:t>Tekuće donacije vjerskim zajednicama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D02FF" w14:textId="77777777" w:rsidR="00364439" w:rsidRPr="009C227A" w:rsidRDefault="00364439" w:rsidP="00270F4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9C227A">
              <w:rPr>
                <w:rFonts w:ascii="Arial Narrow" w:hAnsi="Arial Narrow"/>
                <w:sz w:val="20"/>
                <w:szCs w:val="20"/>
                <w:lang w:eastAsia="hr-HR"/>
              </w:rPr>
              <w:t>16.000</w:t>
            </w:r>
          </w:p>
        </w:tc>
      </w:tr>
      <w:tr w:rsidR="00364439" w:rsidRPr="009C227A" w14:paraId="585CFC7F" w14:textId="77777777" w:rsidTr="00364439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275F9" w14:textId="77777777" w:rsidR="00364439" w:rsidRPr="008C5DF7" w:rsidRDefault="00364439" w:rsidP="00270F4D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8C5DF7">
              <w:rPr>
                <w:rFonts w:ascii="Arial Narrow" w:hAnsi="Arial Narrow"/>
                <w:sz w:val="20"/>
                <w:szCs w:val="20"/>
                <w:lang w:eastAsia="hr-HR"/>
              </w:rPr>
              <w:t>Hrvatski crveni križ-Udruga dobrovoljnih davatelja krvi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EB7C6" w14:textId="77777777" w:rsidR="00364439" w:rsidRPr="009C227A" w:rsidRDefault="00364439" w:rsidP="00270F4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9C227A">
              <w:rPr>
                <w:rFonts w:ascii="Arial Narrow" w:hAnsi="Arial Narrow"/>
                <w:sz w:val="20"/>
                <w:szCs w:val="20"/>
                <w:lang w:eastAsia="hr-HR"/>
              </w:rPr>
              <w:t>50.000</w:t>
            </w:r>
          </w:p>
        </w:tc>
      </w:tr>
      <w:tr w:rsidR="00364439" w:rsidRPr="009C227A" w14:paraId="28E15580" w14:textId="77777777" w:rsidTr="00364439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F7E9D" w14:textId="77777777" w:rsidR="00364439" w:rsidRPr="008C5DF7" w:rsidRDefault="00364439" w:rsidP="00270F4D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8C5DF7">
              <w:rPr>
                <w:rFonts w:ascii="Arial Narrow" w:hAnsi="Arial Narrow"/>
                <w:sz w:val="20"/>
                <w:szCs w:val="20"/>
                <w:lang w:eastAsia="hr-HR"/>
              </w:rPr>
              <w:t>Ostale tekuće donacije udrugama građana i političkim strankama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F94BE4" w14:textId="77777777" w:rsidR="00364439" w:rsidRPr="009C227A" w:rsidRDefault="00364439" w:rsidP="00270F4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9C227A">
              <w:rPr>
                <w:rFonts w:ascii="Arial Narrow" w:hAnsi="Arial Narrow"/>
                <w:sz w:val="20"/>
                <w:szCs w:val="20"/>
                <w:lang w:eastAsia="hr-HR"/>
              </w:rPr>
              <w:t>4.500</w:t>
            </w:r>
          </w:p>
        </w:tc>
      </w:tr>
      <w:tr w:rsidR="00364439" w:rsidRPr="009C227A" w14:paraId="1EDE9420" w14:textId="77777777" w:rsidTr="00364439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9EA03" w14:textId="77777777" w:rsidR="00364439" w:rsidRPr="008C5DF7" w:rsidRDefault="00364439" w:rsidP="00270F4D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8C5DF7">
              <w:rPr>
                <w:rFonts w:ascii="Arial Narrow" w:hAnsi="Arial Narrow"/>
                <w:sz w:val="20"/>
                <w:szCs w:val="20"/>
                <w:lang w:eastAsia="hr-HR"/>
              </w:rPr>
              <w:t>Udruga slijepih Zadarske županije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54B632" w14:textId="77777777" w:rsidR="00364439" w:rsidRPr="009C227A" w:rsidRDefault="00364439" w:rsidP="00270F4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9C227A">
              <w:rPr>
                <w:rFonts w:ascii="Arial Narrow" w:hAnsi="Arial Narrow"/>
                <w:sz w:val="20"/>
                <w:szCs w:val="20"/>
                <w:lang w:eastAsia="hr-HR"/>
              </w:rPr>
              <w:t>3.750</w:t>
            </w:r>
          </w:p>
        </w:tc>
      </w:tr>
      <w:tr w:rsidR="00364439" w:rsidRPr="009C227A" w14:paraId="19EB8F0E" w14:textId="77777777" w:rsidTr="00364439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5621F" w14:textId="77777777" w:rsidR="00364439" w:rsidRPr="008C5DF7" w:rsidRDefault="00364439" w:rsidP="00270F4D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8C5DF7">
              <w:rPr>
                <w:rFonts w:ascii="Arial Narrow" w:hAnsi="Arial Narrow"/>
                <w:sz w:val="20"/>
                <w:szCs w:val="20"/>
                <w:lang w:eastAsia="hr-HR"/>
              </w:rPr>
              <w:t>Udruga hrvatskih civilnih stradalnika domovinskog rata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5AD06" w14:textId="77777777" w:rsidR="00364439" w:rsidRPr="009C227A" w:rsidRDefault="00364439" w:rsidP="00270F4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9C227A">
              <w:rPr>
                <w:rFonts w:ascii="Arial Narrow" w:hAnsi="Arial Narrow"/>
                <w:sz w:val="20"/>
                <w:szCs w:val="20"/>
                <w:lang w:eastAsia="hr-HR"/>
              </w:rPr>
              <w:t>2.250</w:t>
            </w:r>
          </w:p>
        </w:tc>
      </w:tr>
      <w:tr w:rsidR="00364439" w:rsidRPr="009C227A" w14:paraId="3DCD5AB4" w14:textId="77777777" w:rsidTr="00364439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BD7AF" w14:textId="77777777" w:rsidR="00364439" w:rsidRPr="008C5DF7" w:rsidRDefault="00364439" w:rsidP="00270F4D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8C5DF7">
              <w:rPr>
                <w:rFonts w:ascii="Arial Narrow" w:hAnsi="Arial Narrow"/>
                <w:sz w:val="20"/>
                <w:szCs w:val="20"/>
                <w:lang w:eastAsia="hr-HR"/>
              </w:rPr>
              <w:t>Udruga roditelja poginulih branitelja Domovinskog rata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C75BC" w14:textId="77777777" w:rsidR="00364439" w:rsidRPr="009C227A" w:rsidRDefault="00364439" w:rsidP="00270F4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9C227A">
              <w:rPr>
                <w:rFonts w:ascii="Arial Narrow" w:hAnsi="Arial Narrow"/>
                <w:sz w:val="20"/>
                <w:szCs w:val="20"/>
                <w:lang w:eastAsia="hr-HR"/>
              </w:rPr>
              <w:t>2.250</w:t>
            </w:r>
          </w:p>
        </w:tc>
      </w:tr>
      <w:tr w:rsidR="00364439" w14:paraId="29CBD576" w14:textId="77777777" w:rsidTr="00364439">
        <w:trPr>
          <w:trHeight w:val="300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D8815" w14:textId="77777777" w:rsidR="00364439" w:rsidRPr="008C5DF7" w:rsidRDefault="00364439" w:rsidP="00270F4D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hr-HR"/>
              </w:rPr>
            </w:pPr>
            <w:r w:rsidRPr="008C5DF7">
              <w:rPr>
                <w:rFonts w:ascii="Arial Narrow" w:hAnsi="Arial Narrow"/>
                <w:sz w:val="20"/>
                <w:szCs w:val="20"/>
                <w:lang w:eastAsia="hr-HR"/>
              </w:rPr>
              <w:t>Udruga umirovljenika Bibinje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76F0A" w14:textId="77777777" w:rsidR="00364439" w:rsidRDefault="00364439" w:rsidP="00270F4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hr-HR"/>
              </w:rPr>
            </w:pPr>
            <w:r>
              <w:rPr>
                <w:rFonts w:ascii="Arial Narrow" w:hAnsi="Arial Narrow"/>
                <w:sz w:val="20"/>
                <w:szCs w:val="20"/>
                <w:lang w:eastAsia="hr-HR"/>
              </w:rPr>
              <w:t>10.000</w:t>
            </w:r>
          </w:p>
        </w:tc>
      </w:tr>
    </w:tbl>
    <w:p w14:paraId="59A4E397" w14:textId="77777777" w:rsidR="00AE55E0" w:rsidRPr="00771F34" w:rsidRDefault="00AE55E0" w:rsidP="00AE55E0">
      <w:pPr>
        <w:jc w:val="both"/>
        <w:rPr>
          <w:rFonts w:ascii="Arial Narrow" w:hAnsi="Arial Narrow"/>
          <w:color w:val="FF0000"/>
          <w:sz w:val="24"/>
          <w:szCs w:val="24"/>
          <w:lang w:eastAsia="hr-HR"/>
        </w:rPr>
      </w:pPr>
    </w:p>
    <w:p w14:paraId="02FECD08" w14:textId="4DA6F088" w:rsidR="00364439" w:rsidRDefault="00C0069E" w:rsidP="00AE55E0">
      <w:pPr>
        <w:spacing w:after="0"/>
        <w:jc w:val="both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sz w:val="24"/>
          <w:szCs w:val="24"/>
          <w:lang w:eastAsia="hr-HR"/>
        </w:rPr>
        <w:t xml:space="preserve">A 1013-03 Pomoći zdravstvenim ustanovama izvršene su u iznosu od 20.000 kuna odnosno 100% izvornog plana a odnose se na pomoć Općoj bolnici Zadar. </w:t>
      </w:r>
    </w:p>
    <w:p w14:paraId="186679DC" w14:textId="2E5DA857" w:rsidR="00C0069E" w:rsidRDefault="00C0069E" w:rsidP="00AE55E0">
      <w:pPr>
        <w:spacing w:after="0"/>
        <w:jc w:val="both"/>
        <w:rPr>
          <w:rFonts w:ascii="Arial Narrow" w:hAnsi="Arial Narrow"/>
          <w:sz w:val="24"/>
          <w:szCs w:val="24"/>
          <w:lang w:eastAsia="hr-HR"/>
        </w:rPr>
      </w:pPr>
    </w:p>
    <w:p w14:paraId="5A0FED04" w14:textId="6EC3CA8A" w:rsidR="00C0069E" w:rsidRDefault="00C0069E" w:rsidP="00AE55E0">
      <w:pPr>
        <w:spacing w:after="0"/>
        <w:jc w:val="both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sz w:val="24"/>
          <w:szCs w:val="24"/>
          <w:lang w:eastAsia="hr-HR"/>
        </w:rPr>
        <w:t xml:space="preserve">A 1013-04 Projekt Podrškom za njih ostvaren je u iznosu od 37.113 kuna odnosno 107,43% izvornog plana. Odstupanje se odnosi na isplatu božićnica. Projekt se financira iz 85% iz EU sredstva i 15% iz državnog proračuna. </w:t>
      </w:r>
    </w:p>
    <w:p w14:paraId="683DFD9A" w14:textId="26F06976" w:rsidR="00ED5E59" w:rsidRDefault="00ED5E59" w:rsidP="00AE55E0">
      <w:pPr>
        <w:spacing w:after="0"/>
        <w:jc w:val="both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sz w:val="24"/>
          <w:szCs w:val="24"/>
          <w:lang w:eastAsia="hr-HR"/>
        </w:rPr>
        <w:t xml:space="preserve">Pokazatelj uspješnosti ove aktivnosti kroz </w:t>
      </w:r>
      <w:proofErr w:type="spellStart"/>
      <w:r w:rsidR="00B57AE7">
        <w:rPr>
          <w:rFonts w:ascii="Arial Narrow" w:hAnsi="Arial Narrow"/>
          <w:sz w:val="24"/>
          <w:szCs w:val="24"/>
          <w:lang w:eastAsia="hr-HR"/>
        </w:rPr>
        <w:t>Geronto</w:t>
      </w:r>
      <w:r>
        <w:rPr>
          <w:rFonts w:ascii="Arial Narrow" w:hAnsi="Arial Narrow"/>
          <w:sz w:val="24"/>
          <w:szCs w:val="24"/>
          <w:lang w:eastAsia="hr-HR"/>
        </w:rPr>
        <w:t>domačice</w:t>
      </w:r>
      <w:proofErr w:type="spellEnd"/>
      <w:r>
        <w:rPr>
          <w:rFonts w:ascii="Arial Narrow" w:hAnsi="Arial Narrow"/>
          <w:sz w:val="24"/>
          <w:szCs w:val="24"/>
          <w:lang w:eastAsia="hr-HR"/>
        </w:rPr>
        <w:t xml:space="preserve"> pruža se </w:t>
      </w:r>
      <w:r w:rsidR="00B57AE7">
        <w:rPr>
          <w:rFonts w:ascii="Arial Narrow" w:hAnsi="Arial Narrow"/>
          <w:sz w:val="24"/>
          <w:szCs w:val="24"/>
          <w:lang w:eastAsia="hr-HR"/>
        </w:rPr>
        <w:t xml:space="preserve">pomoć u kućanstvu za 30 korisnika. </w:t>
      </w:r>
    </w:p>
    <w:p w14:paraId="2578D4BE" w14:textId="77777777" w:rsidR="00C0069E" w:rsidRDefault="00C0069E" w:rsidP="00AE55E0">
      <w:pPr>
        <w:spacing w:after="0"/>
        <w:jc w:val="both"/>
        <w:rPr>
          <w:rFonts w:ascii="Arial Narrow" w:hAnsi="Arial Narrow"/>
          <w:sz w:val="24"/>
          <w:szCs w:val="24"/>
          <w:lang w:eastAsia="hr-HR"/>
        </w:rPr>
      </w:pPr>
    </w:p>
    <w:p w14:paraId="395EA6DE" w14:textId="1B78C3DE" w:rsidR="00AE55E0" w:rsidRPr="00E56238" w:rsidRDefault="00AE55E0" w:rsidP="00AE55E0">
      <w:pPr>
        <w:spacing w:after="0"/>
        <w:jc w:val="both"/>
        <w:rPr>
          <w:rFonts w:ascii="Arial Narrow" w:hAnsi="Arial Narrow"/>
          <w:sz w:val="24"/>
          <w:szCs w:val="24"/>
          <w:lang w:eastAsia="hr-HR"/>
        </w:rPr>
      </w:pPr>
      <w:r w:rsidRPr="00E56238">
        <w:rPr>
          <w:rFonts w:ascii="Arial Narrow" w:hAnsi="Arial Narrow"/>
          <w:sz w:val="24"/>
          <w:szCs w:val="24"/>
          <w:lang w:eastAsia="hr-HR"/>
        </w:rPr>
        <w:t xml:space="preserve">Zakonske i druge pravne osnove </w:t>
      </w:r>
    </w:p>
    <w:p w14:paraId="4D8723D4" w14:textId="77777777" w:rsidR="00E56238" w:rsidRPr="00E56238" w:rsidRDefault="00E56238" w:rsidP="00E56238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56238">
        <w:rPr>
          <w:rFonts w:ascii="Arial Narrow" w:hAnsi="Arial Narrow"/>
          <w:sz w:val="24"/>
          <w:szCs w:val="24"/>
          <w:lang w:eastAsia="hr-HR"/>
        </w:rPr>
        <w:t xml:space="preserve">Zakon o socijalnoj skrbi, Statut Općine Bibinje, </w:t>
      </w:r>
      <w:r w:rsidRPr="00E56238">
        <w:rPr>
          <w:rFonts w:ascii="Arial Narrow" w:hAnsi="Arial Narrow"/>
          <w:sz w:val="24"/>
          <w:szCs w:val="24"/>
        </w:rPr>
        <w:t>Odluka o dodjeli jednokratne novčane potpore za novorođenu djecu na području Općine Bibinje, Pravilnik o uvjetima i kriterijima stipendiranja studenata Općine Bibinje stipendije.</w:t>
      </w:r>
    </w:p>
    <w:p w14:paraId="79EDBCEA" w14:textId="77777777" w:rsidR="00960739" w:rsidRPr="00771F34" w:rsidRDefault="00960739" w:rsidP="00AE55E0">
      <w:pPr>
        <w:spacing w:after="0"/>
        <w:jc w:val="both"/>
        <w:rPr>
          <w:rFonts w:ascii="Arial Narrow" w:hAnsi="Arial Narrow"/>
          <w:color w:val="FF0000"/>
          <w:sz w:val="24"/>
          <w:szCs w:val="24"/>
          <w:lang w:eastAsia="hr-HR"/>
        </w:rPr>
      </w:pPr>
    </w:p>
    <w:p w14:paraId="574805FD" w14:textId="77777777" w:rsidR="00960739" w:rsidRPr="00960739" w:rsidRDefault="00960739" w:rsidP="00960739">
      <w:pPr>
        <w:rPr>
          <w:rFonts w:ascii="Arial Narrow" w:hAnsi="Arial Narrow"/>
          <w:b/>
          <w:sz w:val="24"/>
          <w:szCs w:val="24"/>
          <w:lang w:eastAsia="hr-HR"/>
        </w:rPr>
      </w:pPr>
      <w:r>
        <w:rPr>
          <w:rFonts w:ascii="Calibri" w:hAnsi="Calibri"/>
          <w:sz w:val="24"/>
          <w:szCs w:val="24"/>
        </w:rPr>
        <w:t xml:space="preserve"> </w:t>
      </w:r>
      <w:r w:rsidRPr="00960739">
        <w:rPr>
          <w:rFonts w:ascii="Arial Narrow" w:hAnsi="Arial Narrow"/>
          <w:b/>
          <w:sz w:val="24"/>
          <w:szCs w:val="24"/>
          <w:lang w:eastAsia="hr-HR"/>
        </w:rPr>
        <w:t>Glava 020-09 Programska djelatnost turizma</w:t>
      </w:r>
    </w:p>
    <w:p w14:paraId="011AAFE1" w14:textId="77777777" w:rsidR="00960739" w:rsidRPr="00960739" w:rsidRDefault="00960739" w:rsidP="00960739">
      <w:pPr>
        <w:jc w:val="both"/>
        <w:rPr>
          <w:rFonts w:ascii="Arial Narrow" w:hAnsi="Arial Narrow"/>
          <w:sz w:val="24"/>
          <w:szCs w:val="24"/>
        </w:rPr>
      </w:pPr>
      <w:r w:rsidRPr="00960739">
        <w:rPr>
          <w:rFonts w:ascii="Arial Narrow" w:hAnsi="Arial Narrow"/>
          <w:sz w:val="24"/>
          <w:szCs w:val="24"/>
          <w:lang w:eastAsia="hr-HR"/>
        </w:rPr>
        <w:t xml:space="preserve">Glava programska djelatnost turizma ima jedan program turizam. </w:t>
      </w:r>
      <w:r w:rsidRPr="00960739">
        <w:rPr>
          <w:rFonts w:ascii="Arial Narrow" w:hAnsi="Arial Narrow"/>
          <w:sz w:val="24"/>
          <w:szCs w:val="24"/>
        </w:rPr>
        <w:t>Glava javnih potreba u turizmu obuhvaća sve oblike promicanja turizma i turističkih djelatnosti koje doprinose razvitku i unaprjeđenju turističkog života na području Općine Bibinje. Javne potrebe u turizmu za koje se sredstva osiguravaju ovoj glavi jesu turističke djelatnosti i poslovi, akcije  i manifestacije od posebnog značaja  za Općinu Bibinje.</w:t>
      </w:r>
    </w:p>
    <w:p w14:paraId="77D9EC9A" w14:textId="77664E30" w:rsidR="00960739" w:rsidRPr="00960739" w:rsidRDefault="00960739" w:rsidP="00960739">
      <w:pPr>
        <w:jc w:val="both"/>
        <w:rPr>
          <w:rFonts w:ascii="Arial Narrow" w:hAnsi="Arial Narrow"/>
          <w:sz w:val="24"/>
          <w:szCs w:val="24"/>
        </w:rPr>
      </w:pPr>
      <w:r w:rsidRPr="00960739">
        <w:rPr>
          <w:rFonts w:ascii="Arial Narrow" w:hAnsi="Arial Narrow"/>
          <w:sz w:val="24"/>
          <w:szCs w:val="24"/>
        </w:rPr>
        <w:t xml:space="preserve">Program turizam izvršen je u iznosu od </w:t>
      </w:r>
      <w:r>
        <w:rPr>
          <w:rFonts w:ascii="Arial Narrow" w:hAnsi="Arial Narrow"/>
          <w:sz w:val="24"/>
          <w:szCs w:val="24"/>
        </w:rPr>
        <w:t>67.921</w:t>
      </w:r>
      <w:r w:rsidRPr="00960739">
        <w:rPr>
          <w:rFonts w:ascii="Arial Narrow" w:hAnsi="Arial Narrow"/>
          <w:sz w:val="24"/>
          <w:szCs w:val="24"/>
        </w:rPr>
        <w:t xml:space="preserve"> kun</w:t>
      </w:r>
      <w:r>
        <w:rPr>
          <w:rFonts w:ascii="Arial Narrow" w:hAnsi="Arial Narrow"/>
          <w:sz w:val="24"/>
          <w:szCs w:val="24"/>
        </w:rPr>
        <w:t>u</w:t>
      </w:r>
      <w:r w:rsidRPr="00960739">
        <w:rPr>
          <w:rFonts w:ascii="Arial Narrow" w:hAnsi="Arial Narrow"/>
          <w:sz w:val="24"/>
          <w:szCs w:val="24"/>
        </w:rPr>
        <w:t xml:space="preserve"> odnosno </w:t>
      </w:r>
      <w:r>
        <w:rPr>
          <w:rFonts w:ascii="Arial Narrow" w:hAnsi="Arial Narrow"/>
          <w:sz w:val="24"/>
          <w:szCs w:val="24"/>
        </w:rPr>
        <w:t xml:space="preserve">100 </w:t>
      </w:r>
      <w:r w:rsidRPr="00960739">
        <w:rPr>
          <w:rFonts w:ascii="Arial Narrow" w:hAnsi="Arial Narrow"/>
          <w:sz w:val="24"/>
          <w:szCs w:val="24"/>
        </w:rPr>
        <w:t>% izvornog plana. Program turizam dijeli se u dvije aktivnosti:</w:t>
      </w:r>
    </w:p>
    <w:p w14:paraId="7E56D40B" w14:textId="3E2A3BE9" w:rsidR="00960739" w:rsidRPr="00960739" w:rsidRDefault="00960739" w:rsidP="00960739">
      <w:pPr>
        <w:jc w:val="both"/>
        <w:rPr>
          <w:rFonts w:ascii="Arial Narrow" w:hAnsi="Arial Narrow"/>
          <w:sz w:val="24"/>
          <w:szCs w:val="24"/>
        </w:rPr>
      </w:pPr>
      <w:r w:rsidRPr="00960739">
        <w:rPr>
          <w:rFonts w:ascii="Arial Narrow" w:hAnsi="Arial Narrow"/>
          <w:sz w:val="24"/>
          <w:szCs w:val="24"/>
        </w:rPr>
        <w:t>A 1014-01 Organiziranje zabavnih manifestacija i sufinanciranje Ryan-</w:t>
      </w:r>
      <w:proofErr w:type="spellStart"/>
      <w:r w:rsidRPr="00960739">
        <w:rPr>
          <w:rFonts w:ascii="Arial Narrow" w:hAnsi="Arial Narrow"/>
          <w:sz w:val="24"/>
          <w:szCs w:val="24"/>
        </w:rPr>
        <w:t>air</w:t>
      </w:r>
      <w:proofErr w:type="spellEnd"/>
      <w:r w:rsidRPr="00960739">
        <w:rPr>
          <w:rFonts w:ascii="Arial Narrow" w:hAnsi="Arial Narrow"/>
          <w:sz w:val="24"/>
          <w:szCs w:val="24"/>
        </w:rPr>
        <w:t xml:space="preserve"> izvršena je u iznosu od </w:t>
      </w:r>
      <w:r>
        <w:rPr>
          <w:rFonts w:ascii="Arial Narrow" w:hAnsi="Arial Narrow"/>
          <w:sz w:val="24"/>
          <w:szCs w:val="24"/>
        </w:rPr>
        <w:t>20.000</w:t>
      </w:r>
      <w:r w:rsidRPr="00960739">
        <w:rPr>
          <w:rFonts w:ascii="Arial Narrow" w:hAnsi="Arial Narrow"/>
          <w:sz w:val="24"/>
          <w:szCs w:val="24"/>
        </w:rPr>
        <w:t xml:space="preserve"> kuna odnosno </w:t>
      </w:r>
      <w:r>
        <w:rPr>
          <w:rFonts w:ascii="Arial Narrow" w:hAnsi="Arial Narrow"/>
          <w:sz w:val="24"/>
          <w:szCs w:val="24"/>
        </w:rPr>
        <w:t>100</w:t>
      </w:r>
      <w:r w:rsidRPr="00960739">
        <w:rPr>
          <w:rFonts w:ascii="Arial Narrow" w:hAnsi="Arial Narrow"/>
          <w:sz w:val="24"/>
          <w:szCs w:val="24"/>
        </w:rPr>
        <w:t>% izvornog plana</w:t>
      </w:r>
      <w:r>
        <w:rPr>
          <w:rFonts w:ascii="Arial Narrow" w:hAnsi="Arial Narrow"/>
          <w:sz w:val="24"/>
          <w:szCs w:val="24"/>
        </w:rPr>
        <w:t xml:space="preserve"> a odnosi se na trošak vatrometa za doček fešte sv. Roka. </w:t>
      </w:r>
    </w:p>
    <w:p w14:paraId="6411985D" w14:textId="1DBB237F" w:rsidR="00960739" w:rsidRDefault="00960739" w:rsidP="00960739">
      <w:pPr>
        <w:jc w:val="both"/>
        <w:rPr>
          <w:rFonts w:ascii="Arial Narrow" w:hAnsi="Arial Narrow"/>
          <w:sz w:val="24"/>
          <w:szCs w:val="24"/>
        </w:rPr>
      </w:pPr>
      <w:r w:rsidRPr="00960739">
        <w:rPr>
          <w:rFonts w:ascii="Arial Narrow" w:hAnsi="Arial Narrow"/>
          <w:sz w:val="24"/>
          <w:szCs w:val="24"/>
        </w:rPr>
        <w:t xml:space="preserve">A 1014 -02 Financiranje TZ Općine Bibinje izvršena je u iznos od </w:t>
      </w:r>
      <w:r>
        <w:rPr>
          <w:rFonts w:ascii="Arial Narrow" w:hAnsi="Arial Narrow"/>
          <w:sz w:val="24"/>
          <w:szCs w:val="24"/>
        </w:rPr>
        <w:t>47.921</w:t>
      </w:r>
      <w:r w:rsidRPr="00960739">
        <w:rPr>
          <w:rFonts w:ascii="Arial Narrow" w:hAnsi="Arial Narrow"/>
          <w:sz w:val="24"/>
          <w:szCs w:val="24"/>
        </w:rPr>
        <w:t xml:space="preserve"> kuna odnosno 100% izvornog plana a odnosi se na donacij</w:t>
      </w:r>
      <w:r w:rsidR="007A79A9">
        <w:rPr>
          <w:rFonts w:ascii="Arial Narrow" w:hAnsi="Arial Narrow"/>
          <w:sz w:val="24"/>
          <w:szCs w:val="24"/>
        </w:rPr>
        <w:t xml:space="preserve">e </w:t>
      </w:r>
      <w:r w:rsidRPr="00960739">
        <w:rPr>
          <w:rFonts w:ascii="Arial Narrow" w:hAnsi="Arial Narrow"/>
          <w:sz w:val="24"/>
          <w:szCs w:val="24"/>
        </w:rPr>
        <w:t>turističkoj zajednici Općine Bibinje za sufinanciranje ljetnog programa</w:t>
      </w:r>
      <w:r w:rsidR="007A79A9">
        <w:rPr>
          <w:rFonts w:ascii="Arial Narrow" w:hAnsi="Arial Narrow"/>
          <w:sz w:val="24"/>
          <w:szCs w:val="24"/>
        </w:rPr>
        <w:t xml:space="preserve"> (37.921 kn) i Bibinjskoj  udruzi mladih (10.000 kn). </w:t>
      </w:r>
    </w:p>
    <w:p w14:paraId="2F4D84D2" w14:textId="0AD93997" w:rsidR="007A79A9" w:rsidRDefault="007A79A9" w:rsidP="00614811">
      <w:pPr>
        <w:spacing w:after="0"/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Cil</w:t>
      </w:r>
      <w:r w:rsidR="00614811">
        <w:rPr>
          <w:rFonts w:ascii="Arial Narrow" w:hAnsi="Arial Narrow"/>
          <w:sz w:val="24"/>
          <w:szCs w:val="24"/>
        </w:rPr>
        <w:t xml:space="preserve">jevi ovog programa su promicanje turizma i </w:t>
      </w:r>
      <w:r w:rsidR="00614811" w:rsidRPr="00960739">
        <w:rPr>
          <w:rFonts w:ascii="Arial Narrow" w:hAnsi="Arial Narrow"/>
          <w:sz w:val="24"/>
          <w:szCs w:val="24"/>
        </w:rPr>
        <w:t xml:space="preserve"> turističkih djelatnosti koje doprinose razvitku i unaprjeđenju turističkog ži</w:t>
      </w:r>
      <w:r w:rsidR="00614811">
        <w:rPr>
          <w:rFonts w:ascii="Arial Narrow" w:hAnsi="Arial Narrow"/>
          <w:sz w:val="24"/>
          <w:szCs w:val="24"/>
        </w:rPr>
        <w:t xml:space="preserve">vota te pokazatelji uspješnosti su  povećanje dolaska i noćenja turista. </w:t>
      </w:r>
      <w:r w:rsidR="00614811">
        <w:rPr>
          <w:rFonts w:ascii="Arial Narrow" w:hAnsi="Arial Narrow"/>
          <w:iCs/>
          <w:sz w:val="24"/>
          <w:szCs w:val="24"/>
        </w:rPr>
        <w:t xml:space="preserve">Ciljevi nisu ostvareni </w:t>
      </w:r>
      <w:r w:rsidR="00614811" w:rsidRPr="00614811">
        <w:rPr>
          <w:rFonts w:ascii="Arial Narrow" w:hAnsi="Arial Narrow"/>
          <w:iCs/>
          <w:sz w:val="24"/>
          <w:szCs w:val="24"/>
        </w:rPr>
        <w:t xml:space="preserve"> zbog mjera zabrane organiziranja manifestacija zbog epidemije bolesti COVID-19</w:t>
      </w:r>
      <w:r w:rsidR="00BA6A96">
        <w:rPr>
          <w:rFonts w:ascii="Arial Narrow" w:hAnsi="Arial Narrow"/>
          <w:iCs/>
          <w:sz w:val="24"/>
          <w:szCs w:val="24"/>
        </w:rPr>
        <w:t xml:space="preserve"> te manjeg broja noćenja i posjećenosti nego prethodnih godina. </w:t>
      </w:r>
      <w:r w:rsidR="00614811">
        <w:rPr>
          <w:rFonts w:ascii="Arial Narrow" w:hAnsi="Arial Narrow"/>
          <w:i/>
          <w:sz w:val="24"/>
          <w:szCs w:val="24"/>
        </w:rPr>
        <w:t xml:space="preserve"> </w:t>
      </w:r>
    </w:p>
    <w:p w14:paraId="1A4A30E4" w14:textId="77777777" w:rsidR="00614811" w:rsidRPr="00614811" w:rsidRDefault="00614811" w:rsidP="00614811">
      <w:pPr>
        <w:spacing w:after="0"/>
        <w:jc w:val="both"/>
        <w:rPr>
          <w:rFonts w:ascii="Arial Narrow" w:hAnsi="Arial Narrow"/>
          <w:i/>
          <w:iCs/>
          <w:sz w:val="24"/>
          <w:szCs w:val="24"/>
        </w:rPr>
      </w:pPr>
    </w:p>
    <w:p w14:paraId="67F443CF" w14:textId="77777777" w:rsidR="00960739" w:rsidRPr="00960739" w:rsidRDefault="00960739" w:rsidP="0096073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0739">
        <w:rPr>
          <w:rFonts w:ascii="Arial Narrow" w:hAnsi="Arial Narrow"/>
          <w:sz w:val="24"/>
          <w:szCs w:val="24"/>
        </w:rPr>
        <w:t xml:space="preserve">Zakonske i druge pravne osnove </w:t>
      </w:r>
    </w:p>
    <w:p w14:paraId="20DA403B" w14:textId="77777777" w:rsidR="00960739" w:rsidRPr="00960739" w:rsidRDefault="00960739" w:rsidP="00960739">
      <w:pPr>
        <w:spacing w:after="0"/>
        <w:jc w:val="both"/>
        <w:rPr>
          <w:rFonts w:ascii="Arial Narrow" w:hAnsi="Arial Narrow"/>
          <w:sz w:val="24"/>
          <w:szCs w:val="24"/>
          <w:lang w:eastAsia="hr-HR"/>
        </w:rPr>
      </w:pPr>
      <w:r w:rsidRPr="00960739">
        <w:rPr>
          <w:rFonts w:ascii="Arial Narrow" w:hAnsi="Arial Narrow"/>
          <w:sz w:val="24"/>
          <w:szCs w:val="24"/>
          <w:lang w:eastAsia="hr-HR"/>
        </w:rPr>
        <w:t>Statut Općine Bibinje</w:t>
      </w:r>
    </w:p>
    <w:p w14:paraId="00F29420" w14:textId="4A9B0F00" w:rsidR="00AE55E0" w:rsidRPr="00960739" w:rsidRDefault="00AE55E0" w:rsidP="00FE3CDF">
      <w:pPr>
        <w:rPr>
          <w:rFonts w:ascii="Arial Narrow" w:hAnsi="Arial Narrow"/>
          <w:sz w:val="24"/>
          <w:szCs w:val="24"/>
        </w:rPr>
      </w:pPr>
    </w:p>
    <w:p w14:paraId="47D85275" w14:textId="50E03EA0" w:rsidR="00AE55E0" w:rsidRPr="00960739" w:rsidRDefault="00AE55E0" w:rsidP="00FE3CDF">
      <w:pPr>
        <w:rPr>
          <w:rFonts w:ascii="Arial Narrow" w:hAnsi="Arial Narrow"/>
          <w:sz w:val="24"/>
          <w:szCs w:val="24"/>
        </w:rPr>
      </w:pPr>
    </w:p>
    <w:p w14:paraId="45CF5E16" w14:textId="3F59434A" w:rsidR="00AE55E0" w:rsidRPr="00960739" w:rsidRDefault="00AE55E0" w:rsidP="00FE3CDF">
      <w:pPr>
        <w:rPr>
          <w:rFonts w:ascii="Arial Narrow" w:hAnsi="Arial Narrow"/>
          <w:sz w:val="24"/>
          <w:szCs w:val="24"/>
        </w:rPr>
      </w:pPr>
    </w:p>
    <w:p w14:paraId="5E774ACB" w14:textId="217D3094" w:rsidR="00AE55E0" w:rsidRPr="00960739" w:rsidRDefault="00AE55E0" w:rsidP="00FE3CDF">
      <w:pPr>
        <w:rPr>
          <w:rFonts w:ascii="Arial Narrow" w:hAnsi="Arial Narrow"/>
          <w:sz w:val="24"/>
          <w:szCs w:val="24"/>
        </w:rPr>
      </w:pPr>
    </w:p>
    <w:p w14:paraId="5ABD67A5" w14:textId="2F3E0287" w:rsidR="00AE55E0" w:rsidRPr="00960739" w:rsidRDefault="00AE55E0" w:rsidP="00FE3CDF">
      <w:pPr>
        <w:rPr>
          <w:rFonts w:ascii="Arial Narrow" w:hAnsi="Arial Narrow"/>
          <w:sz w:val="24"/>
          <w:szCs w:val="24"/>
        </w:rPr>
      </w:pPr>
    </w:p>
    <w:p w14:paraId="78F3C9DC" w14:textId="3B93EE70" w:rsidR="00AE55E0" w:rsidRPr="00960739" w:rsidRDefault="00AE55E0" w:rsidP="00FE3CDF">
      <w:pPr>
        <w:rPr>
          <w:rFonts w:ascii="Arial Narrow" w:hAnsi="Arial Narrow"/>
          <w:sz w:val="24"/>
          <w:szCs w:val="24"/>
        </w:rPr>
      </w:pPr>
    </w:p>
    <w:p w14:paraId="352F1FB8" w14:textId="77777777" w:rsidR="00AE55E0" w:rsidRPr="00FE3CDF" w:rsidRDefault="00AE55E0" w:rsidP="00FE3CDF">
      <w:pPr>
        <w:rPr>
          <w:rFonts w:ascii="Calibri" w:hAnsi="Calibri"/>
          <w:sz w:val="24"/>
          <w:szCs w:val="24"/>
        </w:rPr>
      </w:pPr>
    </w:p>
    <w:sectPr w:rsidR="00AE55E0" w:rsidRPr="00FE3CDF" w:rsidSect="00EB4EB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FAA0B" w14:textId="77777777" w:rsidR="00D04D1B" w:rsidRDefault="00D04D1B" w:rsidP="00AE55E0">
      <w:pPr>
        <w:spacing w:after="0" w:line="240" w:lineRule="auto"/>
      </w:pPr>
      <w:r>
        <w:separator/>
      </w:r>
    </w:p>
  </w:endnote>
  <w:endnote w:type="continuationSeparator" w:id="0">
    <w:p w14:paraId="48B8D446" w14:textId="77777777" w:rsidR="00D04D1B" w:rsidRDefault="00D04D1B" w:rsidP="00AE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C3F3E" w14:textId="77777777" w:rsidR="00D04D1B" w:rsidRDefault="00D04D1B" w:rsidP="00AE55E0">
      <w:pPr>
        <w:spacing w:after="0" w:line="240" w:lineRule="auto"/>
      </w:pPr>
      <w:r>
        <w:separator/>
      </w:r>
    </w:p>
  </w:footnote>
  <w:footnote w:type="continuationSeparator" w:id="0">
    <w:p w14:paraId="6F7E8CC5" w14:textId="77777777" w:rsidR="00D04D1B" w:rsidRDefault="00D04D1B" w:rsidP="00AE5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A7C07"/>
    <w:multiLevelType w:val="hybridMultilevel"/>
    <w:tmpl w:val="FC2A73B4"/>
    <w:lvl w:ilvl="0" w:tplc="3E220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B1339"/>
    <w:multiLevelType w:val="hybridMultilevel"/>
    <w:tmpl w:val="90E66DA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5A"/>
    <w:rsid w:val="000172BD"/>
    <w:rsid w:val="000301B1"/>
    <w:rsid w:val="00056701"/>
    <w:rsid w:val="00087273"/>
    <w:rsid w:val="00087A09"/>
    <w:rsid w:val="001720B0"/>
    <w:rsid w:val="001746BE"/>
    <w:rsid w:val="001B4A19"/>
    <w:rsid w:val="001C5D0B"/>
    <w:rsid w:val="001E63EA"/>
    <w:rsid w:val="00205C26"/>
    <w:rsid w:val="0022370A"/>
    <w:rsid w:val="002424B5"/>
    <w:rsid w:val="00270504"/>
    <w:rsid w:val="00270F4D"/>
    <w:rsid w:val="002A40EF"/>
    <w:rsid w:val="002D1E8E"/>
    <w:rsid w:val="00307DAB"/>
    <w:rsid w:val="00333173"/>
    <w:rsid w:val="0036108F"/>
    <w:rsid w:val="00364439"/>
    <w:rsid w:val="00472815"/>
    <w:rsid w:val="00492FF2"/>
    <w:rsid w:val="004D1619"/>
    <w:rsid w:val="004D26E0"/>
    <w:rsid w:val="00530D89"/>
    <w:rsid w:val="00537822"/>
    <w:rsid w:val="005E23AA"/>
    <w:rsid w:val="005E2CB1"/>
    <w:rsid w:val="00600D01"/>
    <w:rsid w:val="00611253"/>
    <w:rsid w:val="00614811"/>
    <w:rsid w:val="006330EC"/>
    <w:rsid w:val="00646196"/>
    <w:rsid w:val="006741FB"/>
    <w:rsid w:val="00675057"/>
    <w:rsid w:val="0069714D"/>
    <w:rsid w:val="006A224F"/>
    <w:rsid w:val="006C6734"/>
    <w:rsid w:val="00752401"/>
    <w:rsid w:val="00766636"/>
    <w:rsid w:val="00771F34"/>
    <w:rsid w:val="0078715A"/>
    <w:rsid w:val="00792847"/>
    <w:rsid w:val="007A79A9"/>
    <w:rsid w:val="007A7AB5"/>
    <w:rsid w:val="007B51FF"/>
    <w:rsid w:val="007C285B"/>
    <w:rsid w:val="007C5F76"/>
    <w:rsid w:val="007D15CE"/>
    <w:rsid w:val="007E3CAF"/>
    <w:rsid w:val="007F3063"/>
    <w:rsid w:val="00855424"/>
    <w:rsid w:val="00874F8F"/>
    <w:rsid w:val="00876F98"/>
    <w:rsid w:val="00882309"/>
    <w:rsid w:val="008A5902"/>
    <w:rsid w:val="008F0109"/>
    <w:rsid w:val="009020EB"/>
    <w:rsid w:val="00960739"/>
    <w:rsid w:val="009A11D7"/>
    <w:rsid w:val="009A1237"/>
    <w:rsid w:val="009B66FD"/>
    <w:rsid w:val="00A30147"/>
    <w:rsid w:val="00A53B64"/>
    <w:rsid w:val="00A63894"/>
    <w:rsid w:val="00A63DC2"/>
    <w:rsid w:val="00A73BE5"/>
    <w:rsid w:val="00A95E50"/>
    <w:rsid w:val="00AB3017"/>
    <w:rsid w:val="00AB6AD6"/>
    <w:rsid w:val="00AC013F"/>
    <w:rsid w:val="00AD1CCD"/>
    <w:rsid w:val="00AE55E0"/>
    <w:rsid w:val="00B0612A"/>
    <w:rsid w:val="00B569ED"/>
    <w:rsid w:val="00B57AE7"/>
    <w:rsid w:val="00BA6A96"/>
    <w:rsid w:val="00BC0377"/>
    <w:rsid w:val="00BE2CC8"/>
    <w:rsid w:val="00C0069E"/>
    <w:rsid w:val="00C048E0"/>
    <w:rsid w:val="00C110FD"/>
    <w:rsid w:val="00C138A3"/>
    <w:rsid w:val="00C64C93"/>
    <w:rsid w:val="00CC6E9D"/>
    <w:rsid w:val="00D04D1B"/>
    <w:rsid w:val="00D35344"/>
    <w:rsid w:val="00D55152"/>
    <w:rsid w:val="00D557A0"/>
    <w:rsid w:val="00D718B5"/>
    <w:rsid w:val="00D949E2"/>
    <w:rsid w:val="00DA7A42"/>
    <w:rsid w:val="00DD6CDA"/>
    <w:rsid w:val="00E305E7"/>
    <w:rsid w:val="00E46B2E"/>
    <w:rsid w:val="00E4734A"/>
    <w:rsid w:val="00E56238"/>
    <w:rsid w:val="00E90A2B"/>
    <w:rsid w:val="00EA647A"/>
    <w:rsid w:val="00EB4313"/>
    <w:rsid w:val="00EB4EBF"/>
    <w:rsid w:val="00EC4E62"/>
    <w:rsid w:val="00EC75FB"/>
    <w:rsid w:val="00ED5E59"/>
    <w:rsid w:val="00F10BC9"/>
    <w:rsid w:val="00F27200"/>
    <w:rsid w:val="00F4182F"/>
    <w:rsid w:val="00F449D2"/>
    <w:rsid w:val="00F56B98"/>
    <w:rsid w:val="00F66A50"/>
    <w:rsid w:val="00F74072"/>
    <w:rsid w:val="00F77740"/>
    <w:rsid w:val="00F958B6"/>
    <w:rsid w:val="00F95ED1"/>
    <w:rsid w:val="00FA5919"/>
    <w:rsid w:val="00FC76BF"/>
    <w:rsid w:val="00FD6DFA"/>
    <w:rsid w:val="00FD7B2A"/>
    <w:rsid w:val="00FE3CDF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9D55"/>
  <w15:docId w15:val="{722574AB-83AA-4A54-859E-E5E0D6FD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14811"/>
  </w:style>
  <w:style w:type="paragraph" w:styleId="Naslov8">
    <w:name w:val="heading 8"/>
    <w:basedOn w:val="Normal"/>
    <w:next w:val="Normal"/>
    <w:link w:val="Naslov8Char"/>
    <w:uiPriority w:val="99"/>
    <w:unhideWhenUsed/>
    <w:qFormat/>
    <w:rsid w:val="00F27200"/>
    <w:pPr>
      <w:keepNext/>
      <w:tabs>
        <w:tab w:val="center" w:pos="1559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5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9"/>
    <w:rsid w:val="00F27200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55E0"/>
  </w:style>
  <w:style w:type="paragraph" w:styleId="Podnoje">
    <w:name w:val="footer"/>
    <w:basedOn w:val="Normal"/>
    <w:link w:val="PodnojeChar"/>
    <w:uiPriority w:val="99"/>
    <w:unhideWhenUsed/>
    <w:rsid w:val="00AE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55E0"/>
  </w:style>
  <w:style w:type="paragraph" w:styleId="Tekstbalonia">
    <w:name w:val="Balloon Text"/>
    <w:basedOn w:val="Normal"/>
    <w:link w:val="TekstbaloniaChar"/>
    <w:uiPriority w:val="99"/>
    <w:semiHidden/>
    <w:unhideWhenUsed/>
    <w:rsid w:val="00EB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94266-8EB9-4561-9E28-A71E58D1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13</Pages>
  <Words>5441</Words>
  <Characters>31018</Characters>
  <Application>Microsoft Office Word</Application>
  <DocSecurity>0</DocSecurity>
  <Lines>258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37</cp:revision>
  <cp:lastPrinted>2021-07-19T08:25:00Z</cp:lastPrinted>
  <dcterms:created xsi:type="dcterms:W3CDTF">2020-07-22T21:57:00Z</dcterms:created>
  <dcterms:modified xsi:type="dcterms:W3CDTF">2021-07-19T08:25:00Z</dcterms:modified>
</cp:coreProperties>
</file>