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0EE5C" w14:textId="35B2E72B" w:rsidR="002C18CF"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Temeljem članka 14. Zakona o proračunu («Narodne novine», broj 87/08, 136/12 i 15/15), te članka 11. Statuta Općine Bibinje («Službeni glasnik Zadarske županije», broj 17/09, </w:t>
      </w:r>
      <w:r w:rsidRPr="008D03BD">
        <w:rPr>
          <w:rFonts w:ascii="Arial Narrow" w:hAnsi="Arial Narrow"/>
          <w:i/>
          <w:iCs/>
        </w:rPr>
        <w:t>„</w:t>
      </w:r>
      <w:r w:rsidRPr="008D03BD">
        <w:rPr>
          <w:rFonts w:ascii="Arial Narrow" w:hAnsi="Arial Narrow"/>
          <w:i/>
          <w:iCs/>
          <w:lang w:val="pl-PL"/>
        </w:rPr>
        <w:t>Slu</w:t>
      </w:r>
      <w:r w:rsidRPr="008D03BD">
        <w:rPr>
          <w:rFonts w:ascii="Arial Narrow" w:hAnsi="Arial Narrow"/>
          <w:i/>
          <w:iCs/>
        </w:rPr>
        <w:t>ž</w:t>
      </w:r>
      <w:r w:rsidRPr="008D03BD">
        <w:rPr>
          <w:rFonts w:ascii="Arial Narrow" w:hAnsi="Arial Narrow"/>
          <w:i/>
          <w:iCs/>
          <w:lang w:val="pl-PL"/>
        </w:rPr>
        <w:t>beni glasnik Op</w:t>
      </w:r>
      <w:r w:rsidRPr="008D03BD">
        <w:rPr>
          <w:rFonts w:ascii="Arial Narrow" w:hAnsi="Arial Narrow"/>
          <w:i/>
          <w:iCs/>
        </w:rPr>
        <w:t>ć</w:t>
      </w:r>
      <w:r w:rsidRPr="008D03BD">
        <w:rPr>
          <w:rFonts w:ascii="Arial Narrow" w:hAnsi="Arial Narrow"/>
          <w:i/>
          <w:iCs/>
          <w:lang w:val="pl-PL"/>
        </w:rPr>
        <w:t>ine Bibinje</w:t>
      </w:r>
      <w:r w:rsidRPr="008D03BD">
        <w:rPr>
          <w:rFonts w:ascii="Arial Narrow" w:hAnsi="Arial Narrow"/>
          <w:i/>
          <w:iCs/>
        </w:rPr>
        <w:t xml:space="preserve">” </w:t>
      </w:r>
      <w:r w:rsidRPr="008D03BD">
        <w:rPr>
          <w:rFonts w:ascii="Arial Narrow" w:hAnsi="Arial Narrow"/>
          <w:i/>
          <w:iCs/>
          <w:lang w:val="pl-PL"/>
        </w:rPr>
        <w:t>broj</w:t>
      </w:r>
      <w:r w:rsidRPr="008D03BD">
        <w:rPr>
          <w:rFonts w:ascii="Arial Narrow" w:hAnsi="Arial Narrow"/>
          <w:i/>
          <w:iCs/>
        </w:rPr>
        <w:t>: 2/13, 3/18</w:t>
      </w:r>
      <w:r w:rsidRPr="008D03BD">
        <w:rPr>
          <w:rFonts w:ascii="Arial Narrow" w:hAnsi="Arial Narrow"/>
          <w:i/>
          <w:iCs/>
          <w:sz w:val="22"/>
          <w:szCs w:val="22"/>
        </w:rPr>
        <w:t xml:space="preserve">) Općinsko vijeće Općine Bibinje na svojoj </w:t>
      </w:r>
      <w:r w:rsidR="00441C2B">
        <w:rPr>
          <w:rFonts w:ascii="Arial Narrow" w:hAnsi="Arial Narrow"/>
          <w:i/>
          <w:iCs/>
          <w:sz w:val="22"/>
          <w:szCs w:val="22"/>
        </w:rPr>
        <w:t xml:space="preserve">21. </w:t>
      </w:r>
      <w:r w:rsidRPr="008D03BD">
        <w:rPr>
          <w:rFonts w:ascii="Arial Narrow" w:hAnsi="Arial Narrow"/>
          <w:i/>
          <w:iCs/>
          <w:sz w:val="22"/>
          <w:szCs w:val="22"/>
        </w:rPr>
        <w:t xml:space="preserve">sjednici održanoj </w:t>
      </w:r>
      <w:r w:rsidR="00441C2B">
        <w:rPr>
          <w:rFonts w:ascii="Arial Narrow" w:hAnsi="Arial Narrow"/>
          <w:i/>
          <w:iCs/>
          <w:sz w:val="22"/>
          <w:szCs w:val="22"/>
        </w:rPr>
        <w:t>22.12.2020.</w:t>
      </w:r>
      <w:r w:rsidR="008D03BD">
        <w:rPr>
          <w:rFonts w:ascii="Arial Narrow" w:hAnsi="Arial Narrow"/>
          <w:i/>
          <w:iCs/>
          <w:sz w:val="22"/>
          <w:szCs w:val="22"/>
        </w:rPr>
        <w:t xml:space="preserve"> </w:t>
      </w:r>
      <w:r w:rsidRPr="008D03BD">
        <w:rPr>
          <w:rFonts w:ascii="Arial Narrow" w:hAnsi="Arial Narrow"/>
          <w:i/>
          <w:iCs/>
          <w:sz w:val="22"/>
          <w:szCs w:val="22"/>
        </w:rPr>
        <w:t>godine,  donosi</w:t>
      </w:r>
      <w:r w:rsidR="00EE0477">
        <w:rPr>
          <w:rFonts w:ascii="Arial Narrow" w:hAnsi="Arial Narrow"/>
          <w:i/>
          <w:iCs/>
          <w:sz w:val="22"/>
          <w:szCs w:val="22"/>
        </w:rPr>
        <w:t>:</w:t>
      </w:r>
    </w:p>
    <w:p w14:paraId="726DF2D7" w14:textId="77777777" w:rsidR="008D03BD" w:rsidRPr="008D03BD" w:rsidRDefault="008D03BD" w:rsidP="008D03BD">
      <w:pPr>
        <w:autoSpaceDE w:val="0"/>
        <w:autoSpaceDN w:val="0"/>
        <w:adjustRightInd w:val="0"/>
        <w:jc w:val="both"/>
        <w:rPr>
          <w:rFonts w:ascii="Arial Narrow" w:hAnsi="Arial Narrow"/>
          <w:i/>
          <w:iCs/>
          <w:sz w:val="22"/>
          <w:szCs w:val="22"/>
        </w:rPr>
      </w:pPr>
    </w:p>
    <w:p w14:paraId="7105320F" w14:textId="0B5ACE8E" w:rsidR="002C18CF" w:rsidRPr="008D03BD" w:rsidRDefault="002C18CF" w:rsidP="008D03BD">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 xml:space="preserve">O D L U K </w:t>
      </w:r>
      <w:r w:rsidR="00EE0477">
        <w:rPr>
          <w:rFonts w:ascii="Arial Narrow" w:hAnsi="Arial Narrow"/>
          <w:b/>
          <w:bCs/>
          <w:i/>
          <w:iCs/>
          <w:sz w:val="22"/>
          <w:szCs w:val="22"/>
        </w:rPr>
        <w:t>A</w:t>
      </w:r>
    </w:p>
    <w:p w14:paraId="6F5E6634" w14:textId="6797D3B4" w:rsidR="002C18CF" w:rsidRPr="008D03BD" w:rsidRDefault="002C18CF" w:rsidP="008D03BD">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o izvršavanju Proračuna Općine Bibinje za 202</w:t>
      </w:r>
      <w:r w:rsidR="008D03BD">
        <w:rPr>
          <w:rFonts w:ascii="Arial Narrow" w:hAnsi="Arial Narrow"/>
          <w:b/>
          <w:bCs/>
          <w:i/>
          <w:iCs/>
          <w:sz w:val="22"/>
          <w:szCs w:val="22"/>
        </w:rPr>
        <w:t>1</w:t>
      </w:r>
      <w:r w:rsidRPr="008D03BD">
        <w:rPr>
          <w:rFonts w:ascii="Arial Narrow" w:hAnsi="Arial Narrow"/>
          <w:b/>
          <w:bCs/>
          <w:i/>
          <w:iCs/>
          <w:sz w:val="22"/>
          <w:szCs w:val="22"/>
        </w:rPr>
        <w:t>. godinu</w:t>
      </w:r>
    </w:p>
    <w:p w14:paraId="1383C35E" w14:textId="77777777" w:rsidR="002C18CF" w:rsidRPr="008D03BD" w:rsidRDefault="002C18CF" w:rsidP="008D03BD">
      <w:pPr>
        <w:autoSpaceDE w:val="0"/>
        <w:autoSpaceDN w:val="0"/>
        <w:adjustRightInd w:val="0"/>
        <w:jc w:val="both"/>
        <w:rPr>
          <w:rFonts w:ascii="Arial Narrow" w:hAnsi="Arial Narrow"/>
          <w:b/>
          <w:bCs/>
          <w:i/>
          <w:iCs/>
          <w:sz w:val="22"/>
          <w:szCs w:val="22"/>
        </w:rPr>
      </w:pPr>
    </w:p>
    <w:p w14:paraId="40EAA4F8" w14:textId="46A185C5" w:rsidR="002C18CF" w:rsidRDefault="002C18CF" w:rsidP="008D03BD">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1.</w:t>
      </w:r>
    </w:p>
    <w:p w14:paraId="3D95A731" w14:textId="77777777" w:rsidR="008D03BD" w:rsidRPr="008D03BD" w:rsidRDefault="008D03BD" w:rsidP="008D03BD">
      <w:pPr>
        <w:autoSpaceDE w:val="0"/>
        <w:autoSpaceDN w:val="0"/>
        <w:adjustRightInd w:val="0"/>
        <w:jc w:val="center"/>
        <w:rPr>
          <w:rFonts w:ascii="Arial Narrow" w:hAnsi="Arial Narrow"/>
          <w:b/>
          <w:bCs/>
          <w:i/>
          <w:iCs/>
          <w:sz w:val="22"/>
          <w:szCs w:val="22"/>
        </w:rPr>
      </w:pPr>
    </w:p>
    <w:p w14:paraId="04C7A44D" w14:textId="5D5BF5FA"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Ovom Odlukom utvrđuje se struktura prihoda i primitaka, te rashoda i izdataka Proračuna Općine Bibinje za 202</w:t>
      </w:r>
      <w:r w:rsidR="008D03BD">
        <w:rPr>
          <w:rFonts w:ascii="Arial Narrow" w:hAnsi="Arial Narrow"/>
          <w:i/>
          <w:iCs/>
          <w:sz w:val="22"/>
          <w:szCs w:val="22"/>
        </w:rPr>
        <w:t>1</w:t>
      </w:r>
      <w:r w:rsidRPr="008D03BD">
        <w:rPr>
          <w:rFonts w:ascii="Arial Narrow" w:hAnsi="Arial Narrow"/>
          <w:i/>
          <w:iCs/>
          <w:sz w:val="22"/>
          <w:szCs w:val="22"/>
        </w:rPr>
        <w:t>. godinu (u daljnjem tekstu: Proračun) i njegovo izvršavanje, opseg zaduživanja i jamstva, upravljanje namjenskim prihodima i primicima, upravljanje dugom te upravljanje financijskom i nefinancijskom imovinom Općine Bibinje, korištenje vlastitih prihoda korisnika te prava i obveze korisnika proračunskih sredstava.</w:t>
      </w:r>
    </w:p>
    <w:p w14:paraId="79F6C827" w14:textId="77777777" w:rsidR="002C18CF" w:rsidRPr="008D03BD" w:rsidRDefault="002C18CF" w:rsidP="008D03BD">
      <w:pPr>
        <w:autoSpaceDE w:val="0"/>
        <w:autoSpaceDN w:val="0"/>
        <w:adjustRightInd w:val="0"/>
        <w:jc w:val="center"/>
        <w:rPr>
          <w:rFonts w:ascii="Arial Narrow" w:hAnsi="Arial Narrow"/>
          <w:b/>
          <w:bCs/>
          <w:i/>
          <w:iCs/>
          <w:sz w:val="22"/>
          <w:szCs w:val="22"/>
        </w:rPr>
      </w:pPr>
    </w:p>
    <w:p w14:paraId="0B698A7D" w14:textId="2BF864B1" w:rsidR="002C18CF" w:rsidRDefault="002C18CF" w:rsidP="008D03BD">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2.</w:t>
      </w:r>
    </w:p>
    <w:p w14:paraId="733BB137" w14:textId="77777777" w:rsidR="008D03BD" w:rsidRPr="008D03BD" w:rsidRDefault="008D03BD" w:rsidP="008D03BD">
      <w:pPr>
        <w:autoSpaceDE w:val="0"/>
        <w:autoSpaceDN w:val="0"/>
        <w:adjustRightInd w:val="0"/>
        <w:jc w:val="center"/>
        <w:rPr>
          <w:rFonts w:ascii="Arial Narrow" w:hAnsi="Arial Narrow"/>
          <w:b/>
          <w:bCs/>
          <w:i/>
          <w:iCs/>
          <w:sz w:val="22"/>
          <w:szCs w:val="22"/>
        </w:rPr>
      </w:pPr>
    </w:p>
    <w:p w14:paraId="6AF29CDF" w14:textId="5BE14960" w:rsidR="002C18CF"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Opći se dio Proračuna sastoji od Računa prihoda i rashoda te Računa financiranja, a Posebni dio sadrži rashode raspoređene prema ekonomskoj, funkcijskoj, organizacijskoj, programskoj klasifikaciji, izvorima financiranja i  proračunskim korisnicima. Sastavni dio proračuna je i Plan razvojnih programa.</w:t>
      </w:r>
    </w:p>
    <w:p w14:paraId="6CC8D737" w14:textId="77777777" w:rsidR="00441C2B" w:rsidRPr="008D03BD" w:rsidRDefault="00441C2B" w:rsidP="008D03BD">
      <w:pPr>
        <w:autoSpaceDE w:val="0"/>
        <w:autoSpaceDN w:val="0"/>
        <w:adjustRightInd w:val="0"/>
        <w:jc w:val="both"/>
        <w:rPr>
          <w:rFonts w:ascii="Arial Narrow" w:hAnsi="Arial Narrow"/>
          <w:i/>
          <w:iCs/>
          <w:sz w:val="22"/>
          <w:szCs w:val="22"/>
        </w:rPr>
      </w:pPr>
    </w:p>
    <w:p w14:paraId="78791171" w14:textId="6FF55608"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3.</w:t>
      </w:r>
    </w:p>
    <w:p w14:paraId="31F27741"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579F14C2"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Sredstva Proračuna osiguravaju se proračunskim korisnicima (u daljnjem tekstu: korisnici) koji su u Posebnom dijelu proračuna određeni za nositelje sredstava po pojedinim stavkama. Korisnici smiju proračunska sredstva koristiti samo za namjene koje su određene Proračunom i to do visine utvrđene u njegovom Posebnom dijelu.</w:t>
      </w:r>
    </w:p>
    <w:p w14:paraId="0CEC484C" w14:textId="77777777" w:rsidR="002C18CF" w:rsidRPr="008D03BD" w:rsidRDefault="002C18CF" w:rsidP="008D03BD">
      <w:pPr>
        <w:autoSpaceDE w:val="0"/>
        <w:autoSpaceDN w:val="0"/>
        <w:adjustRightInd w:val="0"/>
        <w:jc w:val="both"/>
        <w:rPr>
          <w:rFonts w:ascii="Arial Narrow" w:hAnsi="Arial Narrow"/>
          <w:i/>
          <w:iCs/>
          <w:sz w:val="22"/>
          <w:szCs w:val="22"/>
        </w:rPr>
      </w:pPr>
    </w:p>
    <w:p w14:paraId="5F9E3BB6" w14:textId="77777777" w:rsidR="002C18CF" w:rsidRPr="008D03BD"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4.</w:t>
      </w:r>
    </w:p>
    <w:p w14:paraId="5465A67C" w14:textId="77777777" w:rsidR="002C18CF" w:rsidRPr="008D03BD" w:rsidRDefault="002C18CF" w:rsidP="008D03BD">
      <w:pPr>
        <w:pStyle w:val="Tijeloteksta"/>
        <w:jc w:val="both"/>
        <w:rPr>
          <w:rFonts w:ascii="Arial Narrow" w:hAnsi="Arial Narrow"/>
          <w:i/>
          <w:iCs/>
          <w:sz w:val="22"/>
          <w:szCs w:val="22"/>
        </w:rPr>
      </w:pPr>
      <w:proofErr w:type="spellStart"/>
      <w:r w:rsidRPr="008D03BD">
        <w:rPr>
          <w:rFonts w:ascii="Arial Narrow" w:hAnsi="Arial Narrow"/>
          <w:i/>
          <w:iCs/>
          <w:sz w:val="22"/>
          <w:szCs w:val="22"/>
        </w:rPr>
        <w:t>Korisnici</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koriste</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sredstva</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Proračuna</w:t>
      </w:r>
      <w:proofErr w:type="spellEnd"/>
      <w:r w:rsidRPr="008D03BD">
        <w:rPr>
          <w:rFonts w:ascii="Arial Narrow" w:hAnsi="Arial Narrow"/>
          <w:i/>
          <w:iCs/>
          <w:sz w:val="22"/>
          <w:szCs w:val="22"/>
        </w:rPr>
        <w:t xml:space="preserve"> u </w:t>
      </w:r>
      <w:proofErr w:type="spellStart"/>
      <w:r w:rsidRPr="008D03BD">
        <w:rPr>
          <w:rFonts w:ascii="Arial Narrow" w:hAnsi="Arial Narrow"/>
          <w:i/>
          <w:iCs/>
          <w:sz w:val="22"/>
          <w:szCs w:val="22"/>
        </w:rPr>
        <w:t>skladu</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sa</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svojim</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financijskim</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planom</w:t>
      </w:r>
      <w:proofErr w:type="spellEnd"/>
      <w:r w:rsidRPr="008D03BD">
        <w:rPr>
          <w:rFonts w:ascii="Arial Narrow" w:hAnsi="Arial Narrow"/>
          <w:i/>
          <w:iCs/>
          <w:sz w:val="22"/>
          <w:szCs w:val="22"/>
        </w:rPr>
        <w:t xml:space="preserve">, a po </w:t>
      </w:r>
      <w:proofErr w:type="spellStart"/>
      <w:r w:rsidRPr="008D03BD">
        <w:rPr>
          <w:rFonts w:ascii="Arial Narrow" w:hAnsi="Arial Narrow"/>
          <w:i/>
          <w:iCs/>
          <w:sz w:val="22"/>
          <w:szCs w:val="22"/>
        </w:rPr>
        <w:t>dinamici</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utvrđenoj</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mjesečnim</w:t>
      </w:r>
      <w:proofErr w:type="spellEnd"/>
      <w:r w:rsidRPr="008D03BD">
        <w:rPr>
          <w:rFonts w:ascii="Arial Narrow" w:hAnsi="Arial Narrow"/>
          <w:i/>
          <w:iCs/>
          <w:sz w:val="22"/>
          <w:szCs w:val="22"/>
        </w:rPr>
        <w:t xml:space="preserve"> </w:t>
      </w:r>
      <w:proofErr w:type="spellStart"/>
      <w:r w:rsidRPr="008D03BD">
        <w:rPr>
          <w:rFonts w:ascii="Arial Narrow" w:hAnsi="Arial Narrow"/>
          <w:i/>
          <w:iCs/>
          <w:sz w:val="22"/>
          <w:szCs w:val="22"/>
        </w:rPr>
        <w:t>planovima</w:t>
      </w:r>
      <w:proofErr w:type="spellEnd"/>
      <w:r w:rsidRPr="008D03BD">
        <w:rPr>
          <w:rFonts w:ascii="Arial Narrow" w:hAnsi="Arial Narrow"/>
          <w:i/>
          <w:iCs/>
          <w:sz w:val="22"/>
          <w:szCs w:val="22"/>
          <w:lang w:val="hr-HR"/>
        </w:rPr>
        <w:t>. Korisnici proračunskih sredstava obvezni su dati sve potrebne podatke, isprave izvješća koja se odnose na isplaćena proračunska sredstva, a koja se od njih zatraže.</w:t>
      </w:r>
    </w:p>
    <w:p w14:paraId="5AB0B611" w14:textId="3DD5C650"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5.</w:t>
      </w:r>
    </w:p>
    <w:p w14:paraId="4D25D2C3" w14:textId="77777777" w:rsidR="00441C2B" w:rsidRPr="008D03BD" w:rsidRDefault="00441C2B" w:rsidP="00441C2B">
      <w:pPr>
        <w:autoSpaceDE w:val="0"/>
        <w:autoSpaceDN w:val="0"/>
        <w:adjustRightInd w:val="0"/>
        <w:jc w:val="center"/>
        <w:rPr>
          <w:rFonts w:ascii="Arial Narrow" w:hAnsi="Arial Narrow"/>
          <w:b/>
          <w:i/>
          <w:iCs/>
          <w:sz w:val="22"/>
          <w:szCs w:val="22"/>
        </w:rPr>
      </w:pPr>
    </w:p>
    <w:p w14:paraId="48458DE8"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Vlastiti prihodi jesu prihodi koje proračunski korisnik ostvaruje od obavljanja poslova na tržištu i u tržišnim uvjetima koji se ne financiraju iz proračuna.</w:t>
      </w:r>
    </w:p>
    <w:p w14:paraId="2F61CE0E"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Vlastitim prihodima korisnik podmiruju rashode nastale obavljanjem poslova na tržištu i u tržišnim uvjetima.</w:t>
      </w:r>
    </w:p>
    <w:p w14:paraId="562AC195"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Planiraju se u financijskim planom korisnika i uplaćuju na njihov račun, a mogu se koristiti isključivo za namjene utvrđene financijskom planom.</w:t>
      </w:r>
    </w:p>
    <w:p w14:paraId="41514A72"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Ako se vlastiti prihodi ostvare u iznosu većem od potrebnog za podmirenje rashoda iz stavka 1. ovog članka, mogu se koristiti za podmirenje rashoda redovne djelatnosti.</w:t>
      </w:r>
    </w:p>
    <w:p w14:paraId="66A1BEAB"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 ostvarenim i utrošenim namjenskim i vlastitim prihodima, proračunski korisnik izvješćuju nadležni proračun na način i u rokovima koji vrijede za dostavu polugodišnjih i godišnjih izvješća. Prihodi koji proračunski korisnici ostvare, prihod su proračunskih korisnika i uključuju se u Proračun Općine Bibinje.</w:t>
      </w:r>
    </w:p>
    <w:p w14:paraId="661C9C5B" w14:textId="77777777" w:rsidR="002C18CF" w:rsidRPr="008D03BD" w:rsidRDefault="002C18CF" w:rsidP="008D03BD">
      <w:pPr>
        <w:autoSpaceDE w:val="0"/>
        <w:autoSpaceDN w:val="0"/>
        <w:adjustRightInd w:val="0"/>
        <w:jc w:val="both"/>
        <w:rPr>
          <w:rFonts w:ascii="Arial Narrow" w:hAnsi="Arial Narrow"/>
          <w:b/>
          <w:i/>
          <w:iCs/>
          <w:sz w:val="22"/>
          <w:szCs w:val="22"/>
        </w:rPr>
      </w:pPr>
    </w:p>
    <w:p w14:paraId="72A74106" w14:textId="3F136BAA"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6.</w:t>
      </w:r>
    </w:p>
    <w:p w14:paraId="67163704" w14:textId="77777777" w:rsidR="00441C2B" w:rsidRPr="008D03BD" w:rsidRDefault="00441C2B" w:rsidP="00441C2B">
      <w:pPr>
        <w:autoSpaceDE w:val="0"/>
        <w:autoSpaceDN w:val="0"/>
        <w:adjustRightInd w:val="0"/>
        <w:jc w:val="center"/>
        <w:rPr>
          <w:rFonts w:ascii="Arial Narrow" w:hAnsi="Arial Narrow"/>
          <w:b/>
          <w:i/>
          <w:iCs/>
          <w:sz w:val="22"/>
          <w:szCs w:val="22"/>
        </w:rPr>
      </w:pPr>
    </w:p>
    <w:p w14:paraId="15766796"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U proračunu se planiraju svi prihode koje sukladno pozitivnim propisima ostvaruje Općina Bibinje. Namjenski prihodi proračuna su pomoći, donacije, prihodi za posebne namjene, prihodi od prodaje dugotrajne imovine, naknade s osnove osiguranja, primici od zaduživanja. Uplaćene i prenesene, a manje planirane pomoći i donacije te prihodi po posebnim namjenama mogu se izvršavati iznad iznosa utvrđenih Proračunom, a do visine uplaćenih odnosno prenesenih namjenskih sredstava. Uplaćene i prenesene, a neplanirane pomoći, donacije, prihodi za posebne namjene te primici od zaduživanja mogu se koristiti prema naknadno utvrđenim aktivnostima u Proračunu. Uplaćeni i preneseni , a manje planirani namjenski primici od zaduživanja mogu se izvršavati iznad iznosa utvrđenih u proračunu, a do visine uplaćenih odnosno prenesenih sredstava. Eventualne razlike između </w:t>
      </w:r>
      <w:r w:rsidRPr="008D03BD">
        <w:rPr>
          <w:rFonts w:ascii="Arial Narrow" w:hAnsi="Arial Narrow"/>
          <w:i/>
          <w:iCs/>
          <w:sz w:val="22"/>
          <w:szCs w:val="22"/>
        </w:rPr>
        <w:lastRenderedPageBreak/>
        <w:t xml:space="preserve">namjenskih prihoda i rashoda koji se iz njih financiraju mogu se rasporediti u okviru posebnog dijela Proračuna uz obvezu namirivanja tih razlika, odnosno povrata tih sredstava u sljedećim proračunskim razdobljima. Namjenski prihodi i primici koji nisu iskorišteni u prethodnoj godini prenose se u Proračun za tekuću proračunsku godinu. </w:t>
      </w:r>
    </w:p>
    <w:p w14:paraId="7A70A840"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Ostvareni prihodi od prodaje dugotrajne imovine koristiti će se sukladno Zakonu o proračunu.</w:t>
      </w:r>
    </w:p>
    <w:p w14:paraId="4EF39962" w14:textId="77777777" w:rsidR="002C18CF" w:rsidRPr="008D03BD" w:rsidRDefault="002C18CF" w:rsidP="008D03BD">
      <w:pPr>
        <w:autoSpaceDE w:val="0"/>
        <w:autoSpaceDN w:val="0"/>
        <w:adjustRightInd w:val="0"/>
        <w:jc w:val="both"/>
        <w:rPr>
          <w:rFonts w:ascii="Arial Narrow" w:hAnsi="Arial Narrow"/>
          <w:i/>
          <w:iCs/>
          <w:sz w:val="22"/>
          <w:szCs w:val="22"/>
        </w:rPr>
      </w:pPr>
    </w:p>
    <w:p w14:paraId="7250216F" w14:textId="5A49819F"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7.</w:t>
      </w:r>
    </w:p>
    <w:p w14:paraId="50FEA38D"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071FA18E"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Postupak nabave robe i usluga te ustupanje radova obavljat će se u skladu sa Zakonom o javnoj nabavi. Postupci bagatelne nabave, roba, usluga i radova provede se u skladu sa Pravilnikom o provedbi postupaka nabave male vrijednosti. </w:t>
      </w:r>
    </w:p>
    <w:p w14:paraId="63856C5F" w14:textId="77777777" w:rsidR="002C18CF" w:rsidRPr="008D03BD" w:rsidRDefault="002C18CF" w:rsidP="00441C2B">
      <w:pPr>
        <w:autoSpaceDE w:val="0"/>
        <w:autoSpaceDN w:val="0"/>
        <w:adjustRightInd w:val="0"/>
        <w:jc w:val="center"/>
        <w:rPr>
          <w:rFonts w:ascii="Arial Narrow" w:hAnsi="Arial Narrow"/>
          <w:i/>
          <w:iCs/>
          <w:sz w:val="22"/>
          <w:szCs w:val="22"/>
        </w:rPr>
      </w:pPr>
    </w:p>
    <w:p w14:paraId="109B63AA" w14:textId="53D53C8D"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8.</w:t>
      </w:r>
    </w:p>
    <w:p w14:paraId="3680CF61"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344B1A7E" w14:textId="595F924C"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Proračun se izvršava od 01. siječnja do 31. prosinca 202</w:t>
      </w:r>
      <w:r w:rsidR="00441C2B">
        <w:rPr>
          <w:rFonts w:ascii="Arial Narrow" w:hAnsi="Arial Narrow"/>
          <w:i/>
          <w:iCs/>
          <w:sz w:val="22"/>
          <w:szCs w:val="22"/>
        </w:rPr>
        <w:t>1</w:t>
      </w:r>
      <w:r w:rsidRPr="008D03BD">
        <w:rPr>
          <w:rFonts w:ascii="Arial Narrow" w:hAnsi="Arial Narrow"/>
          <w:i/>
          <w:iCs/>
          <w:sz w:val="22"/>
          <w:szCs w:val="22"/>
        </w:rPr>
        <w:t>. godine. Za planiranje i izvršavanje Proračuna  u cjelini je odgovoran Načelnik. Proračun se izvršava preko jedinstvenog transakcijskog računa Proračuna. Rashodi i izdaci temelje se na knjigovodstvenoj ispravi koju ovjerava Načelnik.</w:t>
      </w:r>
    </w:p>
    <w:p w14:paraId="40443448" w14:textId="77777777" w:rsidR="002C18CF" w:rsidRPr="008D03BD" w:rsidRDefault="002C18CF" w:rsidP="008D03BD">
      <w:pPr>
        <w:autoSpaceDE w:val="0"/>
        <w:autoSpaceDN w:val="0"/>
        <w:adjustRightInd w:val="0"/>
        <w:jc w:val="both"/>
        <w:rPr>
          <w:rFonts w:ascii="Arial Narrow" w:hAnsi="Arial Narrow"/>
          <w:i/>
          <w:iCs/>
          <w:sz w:val="22"/>
          <w:szCs w:val="22"/>
        </w:rPr>
      </w:pPr>
    </w:p>
    <w:p w14:paraId="13968633" w14:textId="394BA4B8"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9.</w:t>
      </w:r>
    </w:p>
    <w:p w14:paraId="25FB016F" w14:textId="77777777" w:rsidR="00441C2B" w:rsidRPr="008D03BD" w:rsidRDefault="00441C2B" w:rsidP="00441C2B">
      <w:pPr>
        <w:autoSpaceDE w:val="0"/>
        <w:autoSpaceDN w:val="0"/>
        <w:adjustRightInd w:val="0"/>
        <w:jc w:val="center"/>
        <w:rPr>
          <w:rFonts w:ascii="Arial Narrow" w:hAnsi="Arial Narrow"/>
          <w:b/>
          <w:i/>
          <w:iCs/>
          <w:sz w:val="22"/>
          <w:szCs w:val="22"/>
        </w:rPr>
      </w:pPr>
    </w:p>
    <w:p w14:paraId="10A7166A" w14:textId="2972C9F4" w:rsidR="002C18CF"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U Proračunu su utvrđena sredstva za proračunsku pričuvu u iznosu od 50.000,00 kuna. O korištenju proračunske pričuve odlučuje Načelnik u cijelosti. Sredstva proračunske pričuve mogu se koristiti za nepredviđene namjene, za koje u proračunu nisu osigurana sredstva ili za namjene za koje se tijekom godine pokaze da za njih nisu utvrđena dovoljna sredstva, jer ih pri planiranju nije bilo moguće predvidjeti. Sredstva proračunske pričuve ne mogu se koristiti za davanje pozajmica. Načelnik je obvezan polugodišnje i godišnje izvijestiti Općinsko vijeće o korištenju sredstava Proračunske pričuve.</w:t>
      </w:r>
    </w:p>
    <w:p w14:paraId="33BA6C2F" w14:textId="77777777" w:rsidR="00441C2B" w:rsidRPr="008D03BD" w:rsidRDefault="00441C2B" w:rsidP="008D03BD">
      <w:pPr>
        <w:autoSpaceDE w:val="0"/>
        <w:autoSpaceDN w:val="0"/>
        <w:adjustRightInd w:val="0"/>
        <w:jc w:val="both"/>
        <w:rPr>
          <w:rFonts w:ascii="Arial Narrow" w:hAnsi="Arial Narrow"/>
          <w:i/>
          <w:iCs/>
          <w:sz w:val="22"/>
          <w:szCs w:val="22"/>
        </w:rPr>
      </w:pPr>
    </w:p>
    <w:p w14:paraId="7513A9B6" w14:textId="11D5190D"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10.</w:t>
      </w:r>
    </w:p>
    <w:p w14:paraId="372EB042" w14:textId="77777777" w:rsidR="00441C2B" w:rsidRPr="008D03BD" w:rsidRDefault="00441C2B" w:rsidP="00441C2B">
      <w:pPr>
        <w:autoSpaceDE w:val="0"/>
        <w:autoSpaceDN w:val="0"/>
        <w:adjustRightInd w:val="0"/>
        <w:jc w:val="center"/>
        <w:rPr>
          <w:rFonts w:ascii="Arial Narrow" w:hAnsi="Arial Narrow"/>
          <w:b/>
          <w:i/>
          <w:iCs/>
          <w:sz w:val="22"/>
          <w:szCs w:val="22"/>
        </w:rPr>
      </w:pPr>
    </w:p>
    <w:p w14:paraId="0E6296B8" w14:textId="77777777" w:rsidR="002C18CF" w:rsidRPr="008D03BD" w:rsidRDefault="002C18CF" w:rsidP="008D03BD">
      <w:pPr>
        <w:autoSpaceDE w:val="0"/>
        <w:autoSpaceDN w:val="0"/>
        <w:adjustRightInd w:val="0"/>
        <w:jc w:val="both"/>
        <w:rPr>
          <w:rFonts w:ascii="Arial Narrow" w:hAnsi="Arial Narrow"/>
          <w:b/>
          <w:i/>
          <w:iCs/>
          <w:sz w:val="22"/>
          <w:szCs w:val="22"/>
        </w:rPr>
      </w:pPr>
      <w:r w:rsidRPr="008D03BD">
        <w:rPr>
          <w:rFonts w:ascii="Arial Narrow" w:hAnsi="Arial Narrow"/>
          <w:i/>
          <w:iCs/>
          <w:sz w:val="22"/>
          <w:szCs w:val="22"/>
        </w:rPr>
        <w:t>Plaćanje predujma može se ugovoriti samo u iznimnim slučajevima na temelju prethodne suglasnosti Načelnika.</w:t>
      </w:r>
    </w:p>
    <w:p w14:paraId="773CBE06" w14:textId="152CB815" w:rsidR="002C18CF" w:rsidRPr="008D03BD" w:rsidRDefault="002C18CF" w:rsidP="00441C2B">
      <w:pPr>
        <w:pStyle w:val="Tijeloteksta"/>
        <w:jc w:val="center"/>
        <w:rPr>
          <w:rFonts w:ascii="Arial Narrow" w:hAnsi="Arial Narrow"/>
          <w:i/>
          <w:iCs/>
          <w:lang w:val="hr-HR"/>
        </w:rPr>
      </w:pPr>
      <w:r w:rsidRPr="008D03BD">
        <w:rPr>
          <w:rFonts w:ascii="Arial Narrow" w:hAnsi="Arial Narrow"/>
          <w:b/>
          <w:i/>
          <w:iCs/>
          <w:sz w:val="22"/>
          <w:szCs w:val="22"/>
          <w:lang w:val="hr-HR"/>
        </w:rPr>
        <w:t>Članak 11</w:t>
      </w:r>
      <w:r w:rsidRPr="008D03BD">
        <w:rPr>
          <w:rFonts w:ascii="Arial Narrow" w:hAnsi="Arial Narrow"/>
          <w:i/>
          <w:iCs/>
          <w:lang w:val="hr-HR"/>
        </w:rPr>
        <w:t>.</w:t>
      </w:r>
    </w:p>
    <w:p w14:paraId="7052DA52" w14:textId="77777777" w:rsidR="002C18CF" w:rsidRPr="008D03BD" w:rsidRDefault="002C18CF" w:rsidP="008D03BD">
      <w:pPr>
        <w:pStyle w:val="Tijeloteksta"/>
        <w:jc w:val="both"/>
        <w:rPr>
          <w:rFonts w:ascii="Arial Narrow" w:hAnsi="Arial Narrow"/>
          <w:i/>
          <w:iCs/>
          <w:lang w:val="hr-HR"/>
        </w:rPr>
      </w:pPr>
      <w:r w:rsidRPr="008D03BD">
        <w:rPr>
          <w:rFonts w:ascii="Arial Narrow" w:hAnsi="Arial Narrow"/>
          <w:i/>
          <w:iCs/>
          <w:sz w:val="22"/>
          <w:szCs w:val="22"/>
          <w:lang w:val="hr-HR"/>
        </w:rPr>
        <w:t>Ako se naknadno utvrdi da je isplata sredstava iz Proračuna bila nezakonita i/ili neopravdana, mora se odmah zahtijevati povrat sredstava u Proračun.</w:t>
      </w:r>
    </w:p>
    <w:p w14:paraId="358E7C97" w14:textId="77777777" w:rsidR="002C18CF" w:rsidRPr="008D03BD"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12.</w:t>
      </w:r>
    </w:p>
    <w:p w14:paraId="364E8FFD" w14:textId="77777777" w:rsidR="002C18CF" w:rsidRPr="008D03BD" w:rsidRDefault="002C18CF" w:rsidP="008D03BD">
      <w:pPr>
        <w:pStyle w:val="Tijeloteksta"/>
        <w:jc w:val="both"/>
        <w:rPr>
          <w:rFonts w:ascii="Arial Narrow" w:hAnsi="Arial Narrow"/>
          <w:i/>
          <w:iCs/>
          <w:sz w:val="22"/>
          <w:szCs w:val="22"/>
          <w:lang w:val="hr-HR"/>
        </w:rPr>
      </w:pPr>
      <w:r w:rsidRPr="008D03BD">
        <w:rPr>
          <w:rFonts w:ascii="Arial Narrow" w:hAnsi="Arial Narrow"/>
          <w:i/>
          <w:iCs/>
          <w:sz w:val="22"/>
          <w:szCs w:val="22"/>
          <w:lang w:val="hr-HR"/>
        </w:rPr>
        <w:t>Raspoloživim novčanim sredstvima na računu Proračuna upravlja Načelnik.</w:t>
      </w:r>
    </w:p>
    <w:p w14:paraId="7EF69C4C" w14:textId="39D9FDFE" w:rsidR="002C18CF" w:rsidRPr="008D03BD" w:rsidRDefault="002C18CF" w:rsidP="008D03BD">
      <w:pPr>
        <w:pStyle w:val="Tijeloteksta"/>
        <w:jc w:val="both"/>
        <w:rPr>
          <w:rFonts w:ascii="Arial Narrow" w:hAnsi="Arial Narrow"/>
          <w:i/>
          <w:iCs/>
          <w:sz w:val="22"/>
          <w:szCs w:val="22"/>
          <w:lang w:val="hr-HR"/>
        </w:rPr>
      </w:pPr>
      <w:r w:rsidRPr="008D03BD">
        <w:rPr>
          <w:rFonts w:ascii="Arial Narrow" w:hAnsi="Arial Narrow"/>
          <w:i/>
          <w:iCs/>
          <w:sz w:val="22"/>
          <w:szCs w:val="22"/>
          <w:lang w:val="hr-HR"/>
        </w:rPr>
        <w:t>Načelnik odlučuje o stjecanju i otuđivanju nekretnina i pokretnina i raspolaganju ostalom imovinom čija pojedinačna vrijednost ne prelazi 0,5% iznosa prihoda bez primitaka ostvarenih u godini koja prethodi godini u kojoj se odlučuje o stjecanju i otuđivanju odnosno raspolaganju ostalom imovinom, a najviše do 1.000.000,00 kuna. Stjecanje i otuđivanje te raspolaganje ostalom imovinom mora biti planirano u Proračunu. Upravljanje imovinom podrazumijeva njezino korištenje, održavanje i davanje u zakup. Stanje imovine utvrđuje se jedanput godišnje prilikom popisa koji je sastavni dio financijskog izvješća Općine Bibinje na dan 31. prosinca 202</w:t>
      </w:r>
      <w:r w:rsidR="00441C2B">
        <w:rPr>
          <w:rFonts w:ascii="Arial Narrow" w:hAnsi="Arial Narrow"/>
          <w:i/>
          <w:iCs/>
          <w:sz w:val="22"/>
          <w:szCs w:val="22"/>
          <w:lang w:val="hr-HR"/>
        </w:rPr>
        <w:t>1</w:t>
      </w:r>
      <w:r w:rsidRPr="008D03BD">
        <w:rPr>
          <w:rFonts w:ascii="Arial Narrow" w:hAnsi="Arial Narrow"/>
          <w:i/>
          <w:iCs/>
          <w:sz w:val="22"/>
          <w:szCs w:val="22"/>
          <w:lang w:val="hr-HR"/>
        </w:rPr>
        <w:t>.godine.</w:t>
      </w:r>
    </w:p>
    <w:p w14:paraId="55D70313" w14:textId="77777777" w:rsidR="002C18CF" w:rsidRPr="008D03BD" w:rsidRDefault="002C18CF" w:rsidP="00441C2B">
      <w:pPr>
        <w:pStyle w:val="Tijeloteksta"/>
        <w:spacing w:before="0"/>
        <w:jc w:val="center"/>
        <w:rPr>
          <w:rFonts w:ascii="Arial Narrow" w:hAnsi="Arial Narrow"/>
          <w:b/>
          <w:i/>
          <w:iCs/>
          <w:sz w:val="22"/>
          <w:szCs w:val="22"/>
          <w:lang w:val="hr-HR"/>
        </w:rPr>
      </w:pPr>
      <w:r w:rsidRPr="008D03BD">
        <w:rPr>
          <w:rFonts w:ascii="Arial Narrow" w:hAnsi="Arial Narrow"/>
          <w:b/>
          <w:i/>
          <w:iCs/>
          <w:sz w:val="22"/>
          <w:szCs w:val="22"/>
          <w:lang w:val="hr-HR"/>
        </w:rPr>
        <w:t>Članak 13.</w:t>
      </w:r>
    </w:p>
    <w:p w14:paraId="349DC64C" w14:textId="77777777" w:rsidR="002C18CF" w:rsidRPr="008D03BD" w:rsidRDefault="002C18CF" w:rsidP="008D03BD">
      <w:pPr>
        <w:pStyle w:val="Tijeloteksta"/>
        <w:spacing w:before="0"/>
        <w:jc w:val="both"/>
        <w:rPr>
          <w:rFonts w:ascii="Arial Narrow" w:hAnsi="Arial Narrow"/>
          <w:b/>
          <w:i/>
          <w:iCs/>
          <w:sz w:val="22"/>
          <w:szCs w:val="22"/>
          <w:lang w:val="hr-HR"/>
        </w:rPr>
      </w:pPr>
      <w:r w:rsidRPr="008D03BD">
        <w:rPr>
          <w:rFonts w:ascii="Arial Narrow" w:hAnsi="Arial Narrow"/>
          <w:i/>
          <w:iCs/>
          <w:sz w:val="22"/>
          <w:szCs w:val="22"/>
          <w:lang w:val="hr-HR"/>
        </w:rPr>
        <w:t>Odgoda plaćanja, obročna otplata duga, te prodaja, otpis ili djelomičan otpis potraživanja Općine Bibinje provodi se prema kriterijima, mjerilima i postupcima sukladno zakonskim propisima.</w:t>
      </w:r>
    </w:p>
    <w:p w14:paraId="23CD15A5" w14:textId="77777777" w:rsidR="002C18CF" w:rsidRPr="008D03BD" w:rsidRDefault="002C18CF" w:rsidP="008D03BD">
      <w:pPr>
        <w:autoSpaceDE w:val="0"/>
        <w:autoSpaceDN w:val="0"/>
        <w:adjustRightInd w:val="0"/>
        <w:jc w:val="both"/>
        <w:rPr>
          <w:rFonts w:ascii="Arial Narrow" w:hAnsi="Arial Narrow"/>
          <w:i/>
          <w:iCs/>
          <w:sz w:val="22"/>
          <w:szCs w:val="22"/>
        </w:rPr>
      </w:pPr>
    </w:p>
    <w:p w14:paraId="0DC43216" w14:textId="77777777" w:rsidR="002C18CF" w:rsidRPr="008D03BD"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14.</w:t>
      </w:r>
    </w:p>
    <w:p w14:paraId="3AC232FC" w14:textId="77777777" w:rsidR="002C18CF" w:rsidRPr="008D03BD" w:rsidRDefault="002C18CF" w:rsidP="008D03BD">
      <w:pPr>
        <w:autoSpaceDE w:val="0"/>
        <w:autoSpaceDN w:val="0"/>
        <w:adjustRightInd w:val="0"/>
        <w:jc w:val="both"/>
        <w:rPr>
          <w:rFonts w:ascii="Arial Narrow" w:hAnsi="Arial Narrow"/>
          <w:b/>
          <w:i/>
          <w:iCs/>
          <w:sz w:val="22"/>
          <w:szCs w:val="22"/>
        </w:rPr>
      </w:pPr>
    </w:p>
    <w:p w14:paraId="472AC1D7"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Općinski načelnik kao nositelj izvršne vlasti jedinice lokalne samouprave može ulaziti u financijske odnose radi zaduživanja i pozajmljivanja, te plasiranja sredstava u obliku depozita u skladu sa Zakonom o proračunu i ostalim propisima.</w:t>
      </w:r>
    </w:p>
    <w:p w14:paraId="4E5B3C35" w14:textId="77777777" w:rsidR="002C18CF" w:rsidRPr="008D03BD" w:rsidRDefault="002C18CF" w:rsidP="008D03BD">
      <w:pPr>
        <w:autoSpaceDE w:val="0"/>
        <w:autoSpaceDN w:val="0"/>
        <w:adjustRightInd w:val="0"/>
        <w:jc w:val="both"/>
        <w:rPr>
          <w:rFonts w:ascii="Arial Narrow" w:hAnsi="Arial Narrow"/>
          <w:b/>
          <w:bCs/>
          <w:i/>
          <w:iCs/>
          <w:sz w:val="22"/>
          <w:szCs w:val="22"/>
        </w:rPr>
      </w:pPr>
    </w:p>
    <w:p w14:paraId="1D2194B3" w14:textId="7AF1D49C"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15.</w:t>
      </w:r>
    </w:p>
    <w:p w14:paraId="2A764E9F" w14:textId="77777777" w:rsidR="00441C2B" w:rsidRPr="008D03BD" w:rsidRDefault="00441C2B" w:rsidP="008D03BD">
      <w:pPr>
        <w:autoSpaceDE w:val="0"/>
        <w:autoSpaceDN w:val="0"/>
        <w:adjustRightInd w:val="0"/>
        <w:jc w:val="both"/>
        <w:rPr>
          <w:rFonts w:ascii="Arial Narrow" w:hAnsi="Arial Narrow"/>
          <w:b/>
          <w:bCs/>
          <w:i/>
          <w:iCs/>
          <w:sz w:val="22"/>
          <w:szCs w:val="22"/>
        </w:rPr>
      </w:pPr>
    </w:p>
    <w:p w14:paraId="2C524988"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Općina se može zaduživati za investicije, davati suglasnost za zaduživanje, odnosno jamstvo u skladu sa Zakonom o proračunu i Pravilniku o postupku zaduživanja te davanje jamstva i suglasnosti jedinica lokalne i područne (regionalne) samouprave. Odluku o zaduživanju općine, o davanju suglasnosti za zaduživanje te davanju jamstva donosi Općinsko vijeće.</w:t>
      </w:r>
    </w:p>
    <w:p w14:paraId="6BDBAA37" w14:textId="021AC921"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Očekivani iznos ukupnog duga na kraju proračunske godine po osnovi zaduživanja i jamstva planira se do iznosa </w:t>
      </w:r>
      <w:r w:rsidRPr="00EE0477">
        <w:rPr>
          <w:rFonts w:ascii="Arial Narrow" w:hAnsi="Arial Narrow"/>
          <w:i/>
          <w:iCs/>
          <w:sz w:val="22"/>
          <w:szCs w:val="22"/>
        </w:rPr>
        <w:t xml:space="preserve">od </w:t>
      </w:r>
      <w:r w:rsidR="00441C2B" w:rsidRPr="00EE0477">
        <w:rPr>
          <w:rFonts w:ascii="Arial Narrow" w:hAnsi="Arial Narrow"/>
          <w:i/>
          <w:iCs/>
          <w:sz w:val="22"/>
          <w:szCs w:val="22"/>
        </w:rPr>
        <w:t>8.</w:t>
      </w:r>
      <w:r w:rsidR="00EE0477">
        <w:rPr>
          <w:rFonts w:ascii="Arial Narrow" w:hAnsi="Arial Narrow"/>
          <w:i/>
          <w:iCs/>
          <w:sz w:val="22"/>
          <w:szCs w:val="22"/>
        </w:rPr>
        <w:t xml:space="preserve">340.556 </w:t>
      </w:r>
      <w:r w:rsidRPr="00EE0477">
        <w:rPr>
          <w:rFonts w:ascii="Arial Narrow" w:hAnsi="Arial Narrow"/>
          <w:i/>
          <w:iCs/>
          <w:sz w:val="22"/>
          <w:szCs w:val="22"/>
        </w:rPr>
        <w:t xml:space="preserve"> kuna.</w:t>
      </w:r>
    </w:p>
    <w:p w14:paraId="651DE894" w14:textId="48B806F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Općina Bibinje ne planira se dugoročno zadužiti u 202</w:t>
      </w:r>
      <w:r w:rsidR="00441C2B">
        <w:rPr>
          <w:rFonts w:ascii="Arial Narrow" w:hAnsi="Arial Narrow"/>
          <w:i/>
          <w:iCs/>
          <w:sz w:val="22"/>
          <w:szCs w:val="22"/>
        </w:rPr>
        <w:t>1</w:t>
      </w:r>
      <w:r w:rsidRPr="008D03BD">
        <w:rPr>
          <w:rFonts w:ascii="Arial Narrow" w:hAnsi="Arial Narrow"/>
          <w:i/>
          <w:iCs/>
          <w:sz w:val="22"/>
          <w:szCs w:val="22"/>
        </w:rPr>
        <w:t>. godini.</w:t>
      </w:r>
    </w:p>
    <w:p w14:paraId="4770657C" w14:textId="77777777" w:rsidR="002C18CF" w:rsidRPr="008D03BD" w:rsidRDefault="002C18CF" w:rsidP="008D03BD">
      <w:pPr>
        <w:autoSpaceDE w:val="0"/>
        <w:autoSpaceDN w:val="0"/>
        <w:adjustRightInd w:val="0"/>
        <w:jc w:val="both"/>
        <w:rPr>
          <w:rFonts w:ascii="Arial Narrow" w:hAnsi="Arial Narrow"/>
          <w:i/>
          <w:iCs/>
          <w:sz w:val="22"/>
          <w:szCs w:val="22"/>
        </w:rPr>
      </w:pPr>
    </w:p>
    <w:p w14:paraId="3DF21938" w14:textId="5D12E058"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t>Članak 16.</w:t>
      </w:r>
    </w:p>
    <w:p w14:paraId="383570A1"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0BBE44A6"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Ustanova i trgovačko društvo čiji je osnivač i većinski vlasnik Općina može se dugoročno zadužiti samo za investiciju, te  uz suglasnost Općinskog vijeća.</w:t>
      </w:r>
    </w:p>
    <w:p w14:paraId="1D5C5CD6"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Dana suglasnost za zaduživanje ustanove uključuje se u opseg mogućeg zaduženja Općine.</w:t>
      </w:r>
    </w:p>
    <w:p w14:paraId="7B6250FC"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Općina može ustanovi i trgovačkom društvu čiji je osnivač i većinski vlasnik dati jamstvo za ispunjenje obveza.</w:t>
      </w:r>
    </w:p>
    <w:p w14:paraId="05C9CC2F"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Načelnik može predlagati Općinskom vijeću davanje pojedinačnih financijskih jamstava.</w:t>
      </w:r>
    </w:p>
    <w:p w14:paraId="29AAEBA3"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Dano jamstvo uključuje se u opseg mogućeg zaduženja Općine, a prije davanja jamstva potrebno je ishoditi suglasnost Ministra financija.</w:t>
      </w:r>
    </w:p>
    <w:p w14:paraId="1D1E8769"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Zahtjev za odobravanje suglasnosti za zaduženje i/ili davanje jamstva podnosi odgovorna osoba trgovačkog društva ili ustanove putem nadležnog upravnog tijela.</w:t>
      </w:r>
    </w:p>
    <w:p w14:paraId="373D8DA7" w14:textId="77777777" w:rsidR="002C18CF" w:rsidRPr="008D03BD" w:rsidRDefault="002C18CF" w:rsidP="008D03BD">
      <w:pPr>
        <w:autoSpaceDE w:val="0"/>
        <w:autoSpaceDN w:val="0"/>
        <w:adjustRightInd w:val="0"/>
        <w:jc w:val="both"/>
        <w:rPr>
          <w:rFonts w:ascii="Arial Narrow" w:hAnsi="Arial Narrow"/>
          <w:i/>
          <w:iCs/>
          <w:sz w:val="22"/>
          <w:szCs w:val="22"/>
        </w:rPr>
      </w:pPr>
    </w:p>
    <w:p w14:paraId="4F701696" w14:textId="77777777" w:rsidR="002C18CF" w:rsidRPr="008D03BD"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17.</w:t>
      </w:r>
    </w:p>
    <w:p w14:paraId="1A1F46F2" w14:textId="77777777" w:rsidR="002C18CF" w:rsidRPr="008D03BD" w:rsidRDefault="002C18CF" w:rsidP="008D03BD">
      <w:pPr>
        <w:pStyle w:val="Tijeloteksta"/>
        <w:jc w:val="both"/>
        <w:rPr>
          <w:rFonts w:ascii="Arial Narrow" w:hAnsi="Arial Narrow"/>
          <w:i/>
          <w:iCs/>
          <w:sz w:val="22"/>
          <w:szCs w:val="22"/>
          <w:lang w:val="hr-HR"/>
        </w:rPr>
      </w:pPr>
      <w:r w:rsidRPr="008D03BD">
        <w:rPr>
          <w:rFonts w:ascii="Arial Narrow" w:hAnsi="Arial Narrow"/>
          <w:i/>
          <w:iCs/>
          <w:sz w:val="22"/>
          <w:szCs w:val="22"/>
          <w:lang w:val="hr-HR"/>
        </w:rPr>
        <w:t>Ako tijekom godine dođe do povećanja rashoda i/ili izdataka odnosno smanjenja prihoda i/ili primitaka Načelnik može poduzeti mjere uravnoteženja Proračuna propisane Zakonom. Ako se primjenom privremenih mjera ne uravnoteži Proračun, njegovo uravnoteženje, odnosno preraspodjelu sredstava između proračunskih korisnika utvrdit će Općinsko vijeće Izmjenama i dopunama Proračuna. Izmjenama i dopunama Proračuna uravnotežuju se prihodi i primici, odnosno rashodi i izdaci. Proračunski korisnici sve Izmjene i dopune svojih financijskih planova iz izvora financiranja namjenski i vlastiti prihoda predlažu na svojim Upravnim vijećima te ih donose samostalno. Proračunski korisnici ne smiju donositi Izmjene i dopune svojih financijskih planova za sredstva koja čine izvorna sredstva Općine Bibinje, osim u dijelu izrade Izmjena i dopuna Proračuna Općine Bibinje.</w:t>
      </w:r>
    </w:p>
    <w:p w14:paraId="3CF16C35" w14:textId="165B1774"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18.</w:t>
      </w:r>
    </w:p>
    <w:p w14:paraId="3F9F8718" w14:textId="77777777" w:rsidR="00441C2B" w:rsidRPr="008D03BD" w:rsidRDefault="00441C2B" w:rsidP="00441C2B">
      <w:pPr>
        <w:autoSpaceDE w:val="0"/>
        <w:autoSpaceDN w:val="0"/>
        <w:adjustRightInd w:val="0"/>
        <w:jc w:val="center"/>
        <w:rPr>
          <w:rFonts w:ascii="Arial Narrow" w:hAnsi="Arial Narrow"/>
          <w:b/>
          <w:i/>
          <w:iCs/>
          <w:sz w:val="22"/>
          <w:szCs w:val="22"/>
        </w:rPr>
      </w:pPr>
    </w:p>
    <w:p w14:paraId="14D1133C"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Načelnik može donijeti odluku o preraspodjeli sredstava za rashode poslovanja i za nabavu nefinancijske imovine u okviru Proračunom planiranih sredstava za rashode. Preraspodjela sredstava na proračunskim stavkama kod proračunskih korisnika može se izvršiti najviše do 5% rashoda i izdataka na proračunskoj stavci donesenoj od strane Općinskog vijeća koja se umanjuje, ako to odobri Načelnik.</w:t>
      </w:r>
    </w:p>
    <w:p w14:paraId="33DBA071"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Proračunska sredstva ne mogu se preraspodijeliti između Računa prihoda i rashoda i Računa financiranja. O izvršenim preraspodjelama Načelnik je dužan izvijestiti Općinsko vijeće u polugodišnjem i godišnjem Izvještaju o izvršenju Proračuna.</w:t>
      </w:r>
    </w:p>
    <w:p w14:paraId="0BA6D902" w14:textId="77777777" w:rsidR="002C18CF" w:rsidRPr="008D03BD" w:rsidRDefault="002C18CF" w:rsidP="008D03BD">
      <w:pPr>
        <w:autoSpaceDE w:val="0"/>
        <w:autoSpaceDN w:val="0"/>
        <w:adjustRightInd w:val="0"/>
        <w:jc w:val="both"/>
        <w:rPr>
          <w:rFonts w:ascii="Arial Narrow" w:hAnsi="Arial Narrow"/>
          <w:i/>
          <w:iCs/>
          <w:sz w:val="22"/>
          <w:szCs w:val="22"/>
        </w:rPr>
      </w:pPr>
    </w:p>
    <w:p w14:paraId="1ADFDFEB" w14:textId="77777777" w:rsidR="002C18CF" w:rsidRPr="008D03BD"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19.</w:t>
      </w:r>
    </w:p>
    <w:p w14:paraId="199E0B12" w14:textId="77777777" w:rsidR="002C18CF" w:rsidRPr="008D03BD" w:rsidRDefault="002C18CF" w:rsidP="008D03BD">
      <w:pPr>
        <w:pStyle w:val="Tijeloteksta"/>
        <w:jc w:val="both"/>
        <w:rPr>
          <w:rFonts w:ascii="Arial Narrow" w:hAnsi="Arial Narrow"/>
          <w:i/>
          <w:iCs/>
          <w:sz w:val="22"/>
          <w:szCs w:val="22"/>
          <w:lang w:val="hr-HR"/>
        </w:rPr>
      </w:pPr>
      <w:r w:rsidRPr="008D03BD">
        <w:rPr>
          <w:rFonts w:ascii="Arial Narrow" w:hAnsi="Arial Narrow"/>
          <w:i/>
          <w:iCs/>
          <w:sz w:val="22"/>
          <w:szCs w:val="22"/>
          <w:lang w:val="hr-HR"/>
        </w:rPr>
        <w:t>Polugodišnji i godišnji izvještaj o izvršenju Proračuna Načelnik dostavlja Općinskom vijeću u rokovima propisanim Zakonom o proračunu. Proračunski korisnici dužni su dostaviti godišnji izvještaj o poslovanju JUO Općine Bibinje, najkasnije u roku od pet dana od isteka roka za predaju godišnjih financijskih izvještaja utvrđenog Pravilnikom o financijskom izvještavanju u proračunskom  računovodstvu (NN 3/15, 93/15,2/17,28/17). Trgovačko društvo kojeg je Općina Bibinje osnivač ili većinski vlasnik dužno je dostaviti godišnji izvještaj o poslovanju Načelniku te ga prezentirati na Općinskom vijeću.</w:t>
      </w:r>
    </w:p>
    <w:p w14:paraId="5F1B7D11" w14:textId="77777777" w:rsidR="002C18CF" w:rsidRPr="008D03BD" w:rsidRDefault="002C18CF" w:rsidP="008D03BD">
      <w:pPr>
        <w:autoSpaceDE w:val="0"/>
        <w:autoSpaceDN w:val="0"/>
        <w:adjustRightInd w:val="0"/>
        <w:jc w:val="both"/>
        <w:rPr>
          <w:rFonts w:ascii="Arial Narrow" w:hAnsi="Arial Narrow"/>
          <w:b/>
          <w:bCs/>
          <w:i/>
          <w:iCs/>
          <w:sz w:val="22"/>
          <w:szCs w:val="22"/>
        </w:rPr>
      </w:pPr>
    </w:p>
    <w:p w14:paraId="3C99D29D" w14:textId="660E8845" w:rsidR="002C18CF" w:rsidRDefault="002C18CF" w:rsidP="008D03BD">
      <w:pPr>
        <w:autoSpaceDE w:val="0"/>
        <w:autoSpaceDN w:val="0"/>
        <w:adjustRightInd w:val="0"/>
        <w:jc w:val="both"/>
        <w:rPr>
          <w:rFonts w:ascii="Arial Narrow" w:hAnsi="Arial Narrow"/>
          <w:b/>
          <w:bCs/>
          <w:i/>
          <w:iCs/>
          <w:sz w:val="22"/>
          <w:szCs w:val="22"/>
        </w:rPr>
      </w:pPr>
    </w:p>
    <w:p w14:paraId="568EB620" w14:textId="77777777" w:rsidR="00441C2B" w:rsidRPr="008D03BD" w:rsidRDefault="00441C2B" w:rsidP="008D03BD">
      <w:pPr>
        <w:autoSpaceDE w:val="0"/>
        <w:autoSpaceDN w:val="0"/>
        <w:adjustRightInd w:val="0"/>
        <w:jc w:val="both"/>
        <w:rPr>
          <w:rFonts w:ascii="Arial Narrow" w:hAnsi="Arial Narrow"/>
          <w:b/>
          <w:bCs/>
          <w:i/>
          <w:iCs/>
          <w:sz w:val="22"/>
          <w:szCs w:val="22"/>
        </w:rPr>
      </w:pPr>
    </w:p>
    <w:p w14:paraId="743197EA" w14:textId="3BEDDB84" w:rsidR="002C18CF" w:rsidRDefault="002C18CF" w:rsidP="00441C2B">
      <w:pPr>
        <w:autoSpaceDE w:val="0"/>
        <w:autoSpaceDN w:val="0"/>
        <w:adjustRightInd w:val="0"/>
        <w:jc w:val="center"/>
        <w:rPr>
          <w:rFonts w:ascii="Arial Narrow" w:hAnsi="Arial Narrow"/>
          <w:b/>
          <w:bCs/>
          <w:i/>
          <w:iCs/>
          <w:sz w:val="22"/>
          <w:szCs w:val="22"/>
        </w:rPr>
      </w:pPr>
      <w:r w:rsidRPr="008D03BD">
        <w:rPr>
          <w:rFonts w:ascii="Arial Narrow" w:hAnsi="Arial Narrow"/>
          <w:b/>
          <w:bCs/>
          <w:i/>
          <w:iCs/>
          <w:sz w:val="22"/>
          <w:szCs w:val="22"/>
        </w:rPr>
        <w:lastRenderedPageBreak/>
        <w:t>Članak 20.</w:t>
      </w:r>
    </w:p>
    <w:p w14:paraId="2F0B3464"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2D9DE5C5" w14:textId="4E213324"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Samo naplaćeni prihodi u kalendarskoj godini priznaju se kao prihodi Proračuna za 202</w:t>
      </w:r>
      <w:r w:rsidR="00441C2B">
        <w:rPr>
          <w:rFonts w:ascii="Arial Narrow" w:hAnsi="Arial Narrow"/>
          <w:i/>
          <w:iCs/>
          <w:sz w:val="22"/>
          <w:szCs w:val="22"/>
        </w:rPr>
        <w:t>1</w:t>
      </w:r>
      <w:r w:rsidRPr="008D03BD">
        <w:rPr>
          <w:rFonts w:ascii="Arial Narrow" w:hAnsi="Arial Narrow"/>
          <w:i/>
          <w:iCs/>
          <w:sz w:val="22"/>
          <w:szCs w:val="22"/>
        </w:rPr>
        <w:t>. godinu. O namjeni viška prihoda iz prethodne godine odlučuje Općinsko vijeće prilikom donošenja godišnjeg Izvještaja o izvršenju proračuna.</w:t>
      </w:r>
    </w:p>
    <w:p w14:paraId="1D84707D" w14:textId="77777777" w:rsidR="002C18CF" w:rsidRPr="008D03BD" w:rsidRDefault="002C18CF" w:rsidP="008D03BD">
      <w:pPr>
        <w:autoSpaceDE w:val="0"/>
        <w:autoSpaceDN w:val="0"/>
        <w:adjustRightInd w:val="0"/>
        <w:jc w:val="both"/>
        <w:rPr>
          <w:rFonts w:ascii="Arial Narrow" w:hAnsi="Arial Narrow"/>
          <w:bCs/>
          <w:i/>
          <w:iCs/>
          <w:sz w:val="22"/>
          <w:szCs w:val="22"/>
        </w:rPr>
      </w:pPr>
    </w:p>
    <w:p w14:paraId="7CDC2E8B" w14:textId="5BE5A735" w:rsidR="002C18CF" w:rsidRDefault="002C18CF" w:rsidP="00441C2B">
      <w:pPr>
        <w:autoSpaceDE w:val="0"/>
        <w:autoSpaceDN w:val="0"/>
        <w:adjustRightInd w:val="0"/>
        <w:jc w:val="center"/>
        <w:rPr>
          <w:rFonts w:ascii="Arial Narrow" w:hAnsi="Arial Narrow"/>
          <w:b/>
          <w:i/>
          <w:iCs/>
          <w:sz w:val="22"/>
          <w:szCs w:val="22"/>
        </w:rPr>
      </w:pPr>
      <w:r w:rsidRPr="008D03BD">
        <w:rPr>
          <w:rFonts w:ascii="Arial Narrow" w:hAnsi="Arial Narrow"/>
          <w:b/>
          <w:i/>
          <w:iCs/>
          <w:sz w:val="22"/>
          <w:szCs w:val="22"/>
        </w:rPr>
        <w:t>Članak 21.</w:t>
      </w:r>
    </w:p>
    <w:p w14:paraId="144C9604" w14:textId="77777777" w:rsidR="00441C2B" w:rsidRPr="008D03BD" w:rsidRDefault="00441C2B" w:rsidP="00441C2B">
      <w:pPr>
        <w:autoSpaceDE w:val="0"/>
        <w:autoSpaceDN w:val="0"/>
        <w:adjustRightInd w:val="0"/>
        <w:jc w:val="center"/>
        <w:rPr>
          <w:rFonts w:ascii="Arial Narrow" w:hAnsi="Arial Narrow"/>
          <w:b/>
          <w:bCs/>
          <w:i/>
          <w:iCs/>
          <w:sz w:val="22"/>
          <w:szCs w:val="22"/>
        </w:rPr>
      </w:pPr>
    </w:p>
    <w:p w14:paraId="25F2811C" w14:textId="77777777"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Ova Odluka stupa na snagu osmog dana od dana objave u "Službenom glasniku Općine Bibinje"</w:t>
      </w:r>
    </w:p>
    <w:p w14:paraId="634FD753" w14:textId="29ECF65A"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a primjenjivati će se od </w:t>
      </w:r>
      <w:r w:rsidR="00441C2B">
        <w:rPr>
          <w:rFonts w:ascii="Arial Narrow" w:hAnsi="Arial Narrow"/>
          <w:i/>
          <w:iCs/>
          <w:sz w:val="22"/>
          <w:szCs w:val="22"/>
        </w:rPr>
        <w:t xml:space="preserve">01. siječnja </w:t>
      </w:r>
      <w:r w:rsidRPr="008D03BD">
        <w:rPr>
          <w:rFonts w:ascii="Arial Narrow" w:hAnsi="Arial Narrow"/>
          <w:i/>
          <w:iCs/>
          <w:sz w:val="22"/>
          <w:szCs w:val="22"/>
        </w:rPr>
        <w:t>202</w:t>
      </w:r>
      <w:r w:rsidR="00441C2B">
        <w:rPr>
          <w:rFonts w:ascii="Arial Narrow" w:hAnsi="Arial Narrow"/>
          <w:i/>
          <w:iCs/>
          <w:sz w:val="22"/>
          <w:szCs w:val="22"/>
        </w:rPr>
        <w:t>1</w:t>
      </w:r>
      <w:r w:rsidRPr="008D03BD">
        <w:rPr>
          <w:rFonts w:ascii="Arial Narrow" w:hAnsi="Arial Narrow"/>
          <w:i/>
          <w:iCs/>
          <w:sz w:val="22"/>
          <w:szCs w:val="22"/>
        </w:rPr>
        <w:t>. godine.</w:t>
      </w:r>
    </w:p>
    <w:p w14:paraId="09048849" w14:textId="77777777" w:rsidR="002C18CF" w:rsidRPr="008D03BD" w:rsidRDefault="002C18CF" w:rsidP="008D03BD">
      <w:pPr>
        <w:autoSpaceDE w:val="0"/>
        <w:autoSpaceDN w:val="0"/>
        <w:adjustRightInd w:val="0"/>
        <w:jc w:val="both"/>
        <w:rPr>
          <w:rFonts w:ascii="Arial Narrow" w:hAnsi="Arial Narrow"/>
          <w:b/>
          <w:bCs/>
          <w:i/>
          <w:iCs/>
          <w:sz w:val="22"/>
          <w:szCs w:val="22"/>
        </w:rPr>
      </w:pPr>
    </w:p>
    <w:p w14:paraId="0DED1909" w14:textId="78533E55"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KLASA: </w:t>
      </w:r>
      <w:r w:rsidR="00441C2B">
        <w:rPr>
          <w:rFonts w:ascii="Arial Narrow" w:hAnsi="Arial Narrow"/>
          <w:i/>
          <w:iCs/>
          <w:sz w:val="22"/>
          <w:szCs w:val="22"/>
        </w:rPr>
        <w:t>021-05/20-01/6</w:t>
      </w:r>
    </w:p>
    <w:p w14:paraId="5BE630CE" w14:textId="58A2A1C5" w:rsidR="002C18CF" w:rsidRPr="008D03BD" w:rsidRDefault="002C18CF" w:rsidP="008D03BD">
      <w:pPr>
        <w:autoSpaceDE w:val="0"/>
        <w:autoSpaceDN w:val="0"/>
        <w:adjustRightInd w:val="0"/>
        <w:jc w:val="both"/>
        <w:rPr>
          <w:rFonts w:ascii="Arial Narrow" w:hAnsi="Arial Narrow"/>
          <w:i/>
          <w:iCs/>
          <w:sz w:val="22"/>
          <w:szCs w:val="22"/>
        </w:rPr>
      </w:pPr>
      <w:r w:rsidRPr="008D03BD">
        <w:rPr>
          <w:rFonts w:ascii="Arial Narrow" w:hAnsi="Arial Narrow"/>
          <w:i/>
          <w:iCs/>
          <w:sz w:val="22"/>
          <w:szCs w:val="22"/>
        </w:rPr>
        <w:t xml:space="preserve">UR. BROJ: </w:t>
      </w:r>
      <w:r w:rsidR="00441C2B">
        <w:rPr>
          <w:rFonts w:ascii="Arial Narrow" w:hAnsi="Arial Narrow"/>
          <w:i/>
          <w:iCs/>
          <w:sz w:val="22"/>
          <w:szCs w:val="22"/>
        </w:rPr>
        <w:t>2198/02-01-20-1</w:t>
      </w:r>
      <w:r w:rsidR="00EE0477">
        <w:rPr>
          <w:rFonts w:ascii="Arial Narrow" w:hAnsi="Arial Narrow"/>
          <w:i/>
          <w:iCs/>
          <w:sz w:val="22"/>
          <w:szCs w:val="22"/>
        </w:rPr>
        <w:t>7</w:t>
      </w:r>
    </w:p>
    <w:p w14:paraId="28EB3411" w14:textId="5B6B0B55" w:rsidR="008D03BD" w:rsidRPr="008D03BD" w:rsidRDefault="002C18CF" w:rsidP="008D03BD">
      <w:pPr>
        <w:autoSpaceDE w:val="0"/>
        <w:autoSpaceDN w:val="0"/>
        <w:adjustRightInd w:val="0"/>
        <w:jc w:val="both"/>
        <w:rPr>
          <w:rFonts w:ascii="Arial Narrow" w:hAnsi="Arial Narrow"/>
          <w:i/>
          <w:iCs/>
          <w:color w:val="000000"/>
          <w:sz w:val="22"/>
          <w:szCs w:val="22"/>
        </w:rPr>
      </w:pPr>
      <w:r w:rsidRPr="008D03BD">
        <w:rPr>
          <w:rFonts w:ascii="Arial Narrow" w:hAnsi="Arial Narrow"/>
          <w:i/>
          <w:iCs/>
          <w:sz w:val="22"/>
          <w:szCs w:val="22"/>
        </w:rPr>
        <w:t>Bibinje,</w:t>
      </w:r>
      <w:r w:rsidR="00441C2B">
        <w:rPr>
          <w:rFonts w:ascii="Arial Narrow" w:hAnsi="Arial Narrow"/>
          <w:i/>
          <w:iCs/>
          <w:sz w:val="22"/>
          <w:szCs w:val="22"/>
        </w:rPr>
        <w:t xml:space="preserve"> 22.12.2020. </w:t>
      </w:r>
    </w:p>
    <w:p w14:paraId="433794BB" w14:textId="77777777" w:rsidR="00441C2B" w:rsidRDefault="002C18CF" w:rsidP="008D03BD">
      <w:pPr>
        <w:jc w:val="both"/>
        <w:rPr>
          <w:rFonts w:ascii="Arial Narrow" w:hAnsi="Arial Narrow"/>
          <w:i/>
          <w:iCs/>
          <w:color w:val="000000"/>
          <w:sz w:val="22"/>
          <w:szCs w:val="22"/>
        </w:rPr>
      </w:pPr>
      <w:r w:rsidRPr="008D03BD">
        <w:rPr>
          <w:rFonts w:ascii="Arial Narrow" w:hAnsi="Arial Narrow"/>
          <w:i/>
          <w:iCs/>
          <w:color w:val="000000"/>
          <w:sz w:val="22"/>
          <w:szCs w:val="22"/>
        </w:rPr>
        <w:tab/>
      </w:r>
      <w:r w:rsidRPr="008D03BD">
        <w:rPr>
          <w:rFonts w:ascii="Arial Narrow" w:hAnsi="Arial Narrow"/>
          <w:i/>
          <w:iCs/>
          <w:color w:val="000000"/>
          <w:sz w:val="22"/>
          <w:szCs w:val="22"/>
        </w:rPr>
        <w:tab/>
      </w:r>
      <w:r w:rsidRPr="008D03BD">
        <w:rPr>
          <w:rFonts w:ascii="Arial Narrow" w:hAnsi="Arial Narrow"/>
          <w:i/>
          <w:iCs/>
          <w:color w:val="000000"/>
          <w:sz w:val="22"/>
          <w:szCs w:val="22"/>
        </w:rPr>
        <w:tab/>
      </w:r>
    </w:p>
    <w:p w14:paraId="623932DC" w14:textId="34F8ADFD" w:rsidR="002C18CF" w:rsidRPr="008D03BD" w:rsidRDefault="002C18CF" w:rsidP="00441C2B">
      <w:pPr>
        <w:ind w:left="4956" w:firstLine="708"/>
        <w:jc w:val="both"/>
        <w:rPr>
          <w:rFonts w:ascii="Arial Narrow" w:hAnsi="Arial Narrow"/>
          <w:i/>
          <w:iCs/>
          <w:color w:val="000000"/>
          <w:sz w:val="22"/>
          <w:szCs w:val="22"/>
        </w:rPr>
      </w:pPr>
      <w:r w:rsidRPr="008D03BD">
        <w:rPr>
          <w:rFonts w:ascii="Arial Narrow" w:hAnsi="Arial Narrow"/>
          <w:b/>
          <w:i/>
          <w:iCs/>
          <w:color w:val="000000"/>
          <w:sz w:val="22"/>
          <w:szCs w:val="22"/>
        </w:rPr>
        <w:t>OPĆINSKO VIJEĆE OPĆINE BIBINJE</w:t>
      </w:r>
    </w:p>
    <w:p w14:paraId="47611516" w14:textId="76B71BC3" w:rsidR="002C18CF" w:rsidRPr="008D03BD" w:rsidRDefault="002C18CF" w:rsidP="008D03BD">
      <w:pPr>
        <w:jc w:val="both"/>
        <w:rPr>
          <w:rFonts w:ascii="Arial Narrow" w:hAnsi="Arial Narrow"/>
          <w:i/>
          <w:iCs/>
          <w:color w:val="000000"/>
          <w:sz w:val="22"/>
          <w:szCs w:val="22"/>
        </w:rPr>
      </w:pPr>
      <w:r w:rsidRPr="008D03BD">
        <w:rPr>
          <w:rFonts w:ascii="Arial Narrow" w:hAnsi="Arial Narrow"/>
          <w:i/>
          <w:iCs/>
          <w:color w:val="000000"/>
          <w:sz w:val="22"/>
          <w:szCs w:val="22"/>
        </w:rPr>
        <w:t xml:space="preserve">                                                                    </w:t>
      </w:r>
      <w:r w:rsidR="00441C2B">
        <w:rPr>
          <w:rFonts w:ascii="Arial Narrow" w:hAnsi="Arial Narrow"/>
          <w:i/>
          <w:iCs/>
          <w:color w:val="000000"/>
          <w:sz w:val="22"/>
          <w:szCs w:val="22"/>
        </w:rPr>
        <w:tab/>
      </w:r>
      <w:r w:rsidR="00441C2B">
        <w:rPr>
          <w:rFonts w:ascii="Arial Narrow" w:hAnsi="Arial Narrow"/>
          <w:i/>
          <w:iCs/>
          <w:color w:val="000000"/>
          <w:sz w:val="22"/>
          <w:szCs w:val="22"/>
        </w:rPr>
        <w:tab/>
      </w:r>
      <w:r w:rsidR="00441C2B">
        <w:rPr>
          <w:rFonts w:ascii="Arial Narrow" w:hAnsi="Arial Narrow"/>
          <w:i/>
          <w:iCs/>
          <w:color w:val="000000"/>
          <w:sz w:val="22"/>
          <w:szCs w:val="22"/>
        </w:rPr>
        <w:tab/>
      </w:r>
      <w:r w:rsidR="00441C2B">
        <w:rPr>
          <w:rFonts w:ascii="Arial Narrow" w:hAnsi="Arial Narrow"/>
          <w:i/>
          <w:iCs/>
          <w:color w:val="000000"/>
          <w:sz w:val="22"/>
          <w:szCs w:val="22"/>
        </w:rPr>
        <w:tab/>
      </w:r>
      <w:r w:rsidR="00441C2B">
        <w:rPr>
          <w:rFonts w:ascii="Arial Narrow" w:hAnsi="Arial Narrow"/>
          <w:i/>
          <w:iCs/>
          <w:color w:val="000000"/>
          <w:sz w:val="22"/>
          <w:szCs w:val="22"/>
        </w:rPr>
        <w:tab/>
      </w:r>
      <w:r w:rsidRPr="008D03BD">
        <w:rPr>
          <w:rFonts w:ascii="Arial Narrow" w:hAnsi="Arial Narrow"/>
          <w:i/>
          <w:iCs/>
          <w:color w:val="000000"/>
          <w:sz w:val="22"/>
          <w:szCs w:val="22"/>
        </w:rPr>
        <w:t xml:space="preserve">  Predsjednik</w:t>
      </w:r>
    </w:p>
    <w:p w14:paraId="7272CDCC" w14:textId="2E5F4256" w:rsidR="002C18CF" w:rsidRPr="008D03BD" w:rsidRDefault="002C18CF" w:rsidP="008D03BD">
      <w:pPr>
        <w:jc w:val="both"/>
        <w:rPr>
          <w:rFonts w:ascii="Arial Narrow" w:hAnsi="Arial Narrow"/>
          <w:i/>
          <w:iCs/>
          <w:sz w:val="22"/>
          <w:szCs w:val="22"/>
        </w:rPr>
      </w:pPr>
      <w:r w:rsidRPr="008D03BD">
        <w:rPr>
          <w:rFonts w:ascii="Arial Narrow" w:hAnsi="Arial Narrow"/>
          <w:i/>
          <w:iCs/>
          <w:color w:val="000000"/>
          <w:sz w:val="22"/>
          <w:szCs w:val="22"/>
        </w:rPr>
        <w:t xml:space="preserve">                                                                    </w:t>
      </w:r>
      <w:r w:rsidR="00441C2B">
        <w:rPr>
          <w:rFonts w:ascii="Arial Narrow" w:hAnsi="Arial Narrow"/>
          <w:i/>
          <w:iCs/>
          <w:color w:val="000000"/>
          <w:sz w:val="22"/>
          <w:szCs w:val="22"/>
        </w:rPr>
        <w:tab/>
      </w:r>
      <w:r w:rsidR="00441C2B">
        <w:rPr>
          <w:rFonts w:ascii="Arial Narrow" w:hAnsi="Arial Narrow"/>
          <w:i/>
          <w:iCs/>
          <w:color w:val="000000"/>
          <w:sz w:val="22"/>
          <w:szCs w:val="22"/>
        </w:rPr>
        <w:tab/>
      </w:r>
      <w:r w:rsidR="00441C2B">
        <w:rPr>
          <w:rFonts w:ascii="Arial Narrow" w:hAnsi="Arial Narrow"/>
          <w:i/>
          <w:iCs/>
          <w:color w:val="000000"/>
          <w:sz w:val="22"/>
          <w:szCs w:val="22"/>
        </w:rPr>
        <w:tab/>
      </w:r>
      <w:r w:rsidR="00441C2B">
        <w:rPr>
          <w:rFonts w:ascii="Arial Narrow" w:hAnsi="Arial Narrow"/>
          <w:i/>
          <w:iCs/>
          <w:color w:val="000000"/>
          <w:sz w:val="22"/>
          <w:szCs w:val="22"/>
        </w:rPr>
        <w:tab/>
      </w:r>
      <w:r w:rsidR="00441C2B">
        <w:rPr>
          <w:rFonts w:ascii="Arial Narrow" w:hAnsi="Arial Narrow"/>
          <w:i/>
          <w:iCs/>
          <w:color w:val="000000"/>
          <w:sz w:val="22"/>
          <w:szCs w:val="22"/>
        </w:rPr>
        <w:tab/>
      </w:r>
      <w:r w:rsidRPr="008D03BD">
        <w:rPr>
          <w:rFonts w:ascii="Arial Narrow" w:hAnsi="Arial Narrow"/>
          <w:i/>
          <w:iCs/>
          <w:color w:val="000000"/>
          <w:sz w:val="22"/>
          <w:szCs w:val="22"/>
        </w:rPr>
        <w:t xml:space="preserve">   Ivan Šimunić, </w:t>
      </w:r>
      <w:proofErr w:type="spellStart"/>
      <w:r w:rsidRPr="008D03BD">
        <w:rPr>
          <w:rFonts w:ascii="Arial Narrow" w:hAnsi="Arial Narrow"/>
          <w:i/>
          <w:iCs/>
          <w:color w:val="000000"/>
          <w:sz w:val="22"/>
          <w:szCs w:val="22"/>
        </w:rPr>
        <w:t>prof</w:t>
      </w:r>
      <w:proofErr w:type="spellEnd"/>
    </w:p>
    <w:p w14:paraId="394DFF06" w14:textId="77777777" w:rsidR="002C18CF" w:rsidRPr="008D03BD" w:rsidRDefault="002C18CF" w:rsidP="008D03BD">
      <w:pPr>
        <w:jc w:val="both"/>
        <w:rPr>
          <w:rFonts w:ascii="Arial Narrow" w:hAnsi="Arial Narrow"/>
          <w:i/>
          <w:iCs/>
        </w:rPr>
      </w:pPr>
    </w:p>
    <w:sectPr w:rsidR="002C18CF" w:rsidRPr="008D03BD" w:rsidSect="00171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209C"/>
    <w:rsid w:val="000566AB"/>
    <w:rsid w:val="00092290"/>
    <w:rsid w:val="000B2DE9"/>
    <w:rsid w:val="00103F8D"/>
    <w:rsid w:val="00137085"/>
    <w:rsid w:val="0017132F"/>
    <w:rsid w:val="001A22EE"/>
    <w:rsid w:val="001B0D59"/>
    <w:rsid w:val="002C18CF"/>
    <w:rsid w:val="002E33BE"/>
    <w:rsid w:val="002E43B1"/>
    <w:rsid w:val="00327C94"/>
    <w:rsid w:val="00426274"/>
    <w:rsid w:val="00441C2B"/>
    <w:rsid w:val="004B3205"/>
    <w:rsid w:val="00513FB1"/>
    <w:rsid w:val="00516B1B"/>
    <w:rsid w:val="00574164"/>
    <w:rsid w:val="00586D45"/>
    <w:rsid w:val="005B084A"/>
    <w:rsid w:val="00635B43"/>
    <w:rsid w:val="00646E69"/>
    <w:rsid w:val="00656B73"/>
    <w:rsid w:val="00663200"/>
    <w:rsid w:val="006D11FA"/>
    <w:rsid w:val="006D48C7"/>
    <w:rsid w:val="006F1BDF"/>
    <w:rsid w:val="007073F5"/>
    <w:rsid w:val="007620AE"/>
    <w:rsid w:val="00880DB0"/>
    <w:rsid w:val="008D03BD"/>
    <w:rsid w:val="00904995"/>
    <w:rsid w:val="00977BE7"/>
    <w:rsid w:val="009B149D"/>
    <w:rsid w:val="00A23BB4"/>
    <w:rsid w:val="00AA6C81"/>
    <w:rsid w:val="00B21788"/>
    <w:rsid w:val="00BD6ECB"/>
    <w:rsid w:val="00BE1B9A"/>
    <w:rsid w:val="00CD07F0"/>
    <w:rsid w:val="00CF1C37"/>
    <w:rsid w:val="00D8209C"/>
    <w:rsid w:val="00D87DE1"/>
    <w:rsid w:val="00DD0C16"/>
    <w:rsid w:val="00DD7123"/>
    <w:rsid w:val="00DE4EA3"/>
    <w:rsid w:val="00EC5153"/>
    <w:rsid w:val="00EC666F"/>
    <w:rsid w:val="00EE0477"/>
    <w:rsid w:val="00F4039B"/>
    <w:rsid w:val="00FA098A"/>
    <w:rsid w:val="00FD1B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C887D"/>
  <w15:docId w15:val="{3F40B78B-D6CD-4D02-98E5-FCEC6B27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9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F4039B"/>
    <w:pPr>
      <w:spacing w:before="180" w:after="180"/>
    </w:pPr>
    <w:rPr>
      <w:rFonts w:ascii="Calibri" w:eastAsia="Calibri" w:hAnsi="Calibri"/>
      <w:lang w:val="en-US" w:eastAsia="en-US"/>
    </w:rPr>
  </w:style>
  <w:style w:type="character" w:customStyle="1" w:styleId="TijelotekstaChar">
    <w:name w:val="Tijelo teksta Char"/>
    <w:link w:val="Tijeloteksta"/>
    <w:uiPriority w:val="99"/>
    <w:locked/>
    <w:rsid w:val="00F4039B"/>
    <w:rPr>
      <w:rFonts w:ascii="Calibri" w:hAnsi="Calibri" w:cs="Times New Roman"/>
      <w:sz w:val="24"/>
      <w:szCs w:val="24"/>
      <w:lang w:val="en-US" w:eastAsia="en-US"/>
    </w:rPr>
  </w:style>
  <w:style w:type="paragraph" w:customStyle="1" w:styleId="FirstParagraph">
    <w:name w:val="First Paragraph"/>
    <w:basedOn w:val="Tijeloteksta"/>
    <w:next w:val="Tijeloteksta"/>
    <w:uiPriority w:val="99"/>
    <w:rsid w:val="00CF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84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2019-12-18T12:44:00Z</cp:lastPrinted>
  <dcterms:created xsi:type="dcterms:W3CDTF">2019-12-05T18:51:00Z</dcterms:created>
  <dcterms:modified xsi:type="dcterms:W3CDTF">2021-01-12T17:48:00Z</dcterms:modified>
</cp:coreProperties>
</file>