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f7da7be14ef421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40971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LEPTIRIĆI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279.379,94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368.379,11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273.590,37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385.931,52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17.552,41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3.888,69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6.563,12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24.115,53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Na dan 31.12.2025.  godine utvrđen je manjak prihoda i primitaka nad rashodima i izdacima u iznosu od 24.115,53 eura, te ako tome pridodamo preneseni višak od 3.838,60 eura  daje ukupan manjak od 20.276,93 eura. Manjak se odnosi na plaću za prosinac koja se financira iz proračuna Općine Bibinje  i isplaćuje u mjesecu siječnju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279.379,94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368.379,11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w:t>
            </w:r>
          </w:p>
        </w:tc>
      </w:tr>
    </w:tbl>
    <w:p>
      <w:pPr>
        <w:spacing w:before="0" w:after="0"/>
      </w:pPr>
    </w:p>
    <w:p>
      <w:r>
        <w:t xml:space="preserve">Ostvareni prihodi poslovanja iznose 368.379,11 eura odnosno  31,9% više u odnosu na isto izvještajno razdoblje prethodne godine.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w:t>
            </w:r>
          </w:p>
        </w:tc>
      </w:tr>
    </w:tbl>
    <w:p>
      <w:pPr>
        <w:spacing w:before="0" w:after="0"/>
      </w:pPr>
    </w:p>
    <w:p>
      <w:r>
        <w:t xml:space="preserve">Pomoći iz inozemstva i od subjekata unutar općeg proračuna iznose 742,01 eura odnosno 39,8% u odnosu na isto izvještajno razdoblje prethodne godine, a odnose se na pomoći od Ministarstva znanosti i obrazovanja.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28.499,50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w:t>
            </w:r>
          </w:p>
        </w:tc>
      </w:tr>
    </w:tbl>
    <w:p>
      <w:pPr>
        <w:spacing w:before="0" w:after="0"/>
      </w:pPr>
    </w:p>
    <w:p>
      <w:r>
        <w:t xml:space="preserve">Prihodi od upravnih i administrativnih pristojbi, pristojbi po posebnim propisima i naknada ostvareni su iznosu od 27.788,00 eura odnosno 2,5% manje u odnosu na isto izvještajno razdoblje prethodne godine,  a odnose se na uplate roditelja za sufinanciranje rada dječjeg vrtića. Razlog smanjenja ovih prihoda je manje upisane djece u odnosu na prethodnu godinu.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195,5</w:t>
            </w:r>
          </w:p>
        </w:tc>
      </w:tr>
    </w:tbl>
    <w:p>
      <w:pPr>
        <w:spacing w:before="0" w:after="0"/>
      </w:pPr>
    </w:p>
    <w:p>
      <w:r>
        <w:t xml:space="preserve"> </w:t>
      </w:r>
    </w:p>
    <w:p>
      <w:r>
        <w:t xml:space="preserve">Tekuće donacije ostvarene su u iznosu od 7.000,00 eura odnosno 95,5% više nego prethodne godine. Donacije se odnose na donaciju Lovačkog društva.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245.435,25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332.849,10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w:t>
            </w:r>
          </w:p>
        </w:tc>
      </w:tr>
    </w:tbl>
    <w:p>
      <w:pPr>
        <w:spacing w:before="0" w:after="0"/>
      </w:pPr>
    </w:p>
    <w:p>
      <w:r>
        <w:t xml:space="preserve">Prihodi iz nadležnog proračuna i od HZZO-a temeljem ugovornih obveza ostvareni su u iznosu od 332.849,10 eura a odnosi se na prihode iz proračuna Općine Bibinje za financiranje rashoda poslovanja i prihode iz proračuna  Općine Bibinje za financiranje projekta Ispunjenije djetinjstvo. Razlog odstupanja je porast rashoda za zaposlene zbog povećanja broja zaposlenih i povećanje materijalnih prava zaposlenika te porast troškova namirnica koji se financiraju iz proračuna Općine Bibinje.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273.590,37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385.931,52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w:t>
            </w:r>
          </w:p>
        </w:tc>
      </w:tr>
    </w:tbl>
    <w:p>
      <w:pPr>
        <w:spacing w:before="0" w:after="0"/>
      </w:pPr>
    </w:p>
    <w:p>
      <w:r>
        <w:t xml:space="preserve">Ostvareni rashodi poslovanja iznose 385.931,52 eura odnosno 41,1% više u odnosu na isto izvještajno razdoblje prethodne godine. Razvidno povećanje rashoda poslovanja odnosi se porast rashoda za zaposlene zbog povećanja broja zaposlenih i povećanje materijalnih prava zaposlenika te knjiženje trinaeste plaće zbog ukidanja računa 193 Rashodi budućih razdoblja.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214.861,06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325.092,47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151,3</w:t>
            </w:r>
          </w:p>
        </w:tc>
      </w:tr>
    </w:tbl>
    <w:p>
      <w:pPr>
        <w:spacing w:before="0" w:after="0"/>
      </w:pPr>
    </w:p>
    <w:p>
      <w:r>
        <w:t xml:space="preserve">Rashodi za zaposlene iznose 325.092,47 eura odnosno 51,3% više u odnosu na isto izvještajno razdoblje prethodne godine, a odnose se na bruto plaće u iznosu od 264.268,87eura, isplatu „uskrsnica“ u iznosu od 1.200,00 eura, naknade za bolovanje u iznosu od 441,44 eura, naknadu za troškove prehrane u iznosu  od 7.200,00 eura, naknadu za regres u iznosu od 3.600,00 eura, isplatu „božićnice“ u iznosu od 3.600,00 eura, isplata dara djetetu u iznosu od 1.820,00 eura te na troškove doprinosa za obvezno zdravstveno osiguranje u iznosu od 42.962,16  eura. Razlog razvidnog povećanja ovih rashoda u odnosu na prethodno izvještajno razdoblje  je povećanje osnovice i koeficijenata za izračun plaća zaposlenika, povećanje zaposlenih te knjiženje trinaeste plaće na rashode u odnosu na prethodnu godinu kada je bilo iskazano na računu 193 Rashodi budućih razdoblja.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58.226,01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60.245,33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w:t>
            </w:r>
          </w:p>
        </w:tc>
      </w:tr>
    </w:tbl>
    <w:p>
      <w:pPr>
        <w:spacing w:before="0" w:after="0"/>
      </w:pPr>
    </w:p>
    <w:p>
      <w:r>
        <w:t xml:space="preserve">Materijalni rashodi ostvareni su iznosu od 60.245,33 eura odnosno 103,5%  u odnosu na isto izvještajno razdoblje prethodne godine a odnosi se na naknade troškova zaposlenima u iznosu od 1.492,57 eura, rashodi za materijal i energiju u iznosu od 32.833,62 eura, rashodi za usluge u iznosu od 23.465,03 eura i ostali nespomenuti rashodi u iznosu od 2.454,11 eura.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w:t>
            </w:r>
          </w:p>
        </w:tc>
      </w:tr>
    </w:tbl>
    <w:p>
      <w:pPr>
        <w:spacing w:before="0" w:after="0"/>
      </w:pPr>
    </w:p>
    <w:p>
      <w:r>
        <w:t xml:space="preserve">Naknade troškove zaposlenima ostvarene su u iznosu od 1.492,57 eura a odnosi se na naknade za  prijevoz u iznosu od 514,87 eura i stručno usavršavanja zaposlenika u iznosu od 977,70 eura. Smanjenje ovih rashoda u odnosu na prethodno izvještajno razdoblje odnosi se na edukaciju za djelatnika.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34.503,98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32.833,62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bl>
    <w:p>
      <w:pPr>
        <w:spacing w:before="0" w:after="0"/>
      </w:pPr>
    </w:p>
    <w:p>
      <w:r>
        <w:t xml:space="preserve">Rashodi za materijal i energiju ostvareni su u iznosu od 32.833,62 eura odnosno 4,8% manje u odnosu na isto izvještajno razdoblje prethodne godine, a odnose se na uredski materijal i ostali materijalni rashodi u iznosu od 6.916,50 eura, materijal i sirovine u iznosu od 21.856,04 eura, energija u iznosu od 3.131,03 eura, materijal i dijelovi za tekuće i investicijsko održavanje u iznosu od 483,07 eura te na sitan inventar u iznosu od 446,98 eura. Smanjenje bilježimo na troškovima namirnica zbog manje upisane djece u odnosu na prethodnu godinu te na sitnom inventaru koji odstupa u odnosu na prethodnu godinu kada su se nabavile nove igračke i stolice. Povećanje bilježimo kod uredskog materijala krajem godine dječji vrtić zaposlilo je logopeda te je nabavio potrebne radne materijale i literaturu te povećanje bilježimo na odjeljku energije zbog većih troškova električne energije.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23.465,03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r>
        <w:t xml:space="preserve"> </w:t>
      </w:r>
    </w:p>
    <w:p>
      <w:r>
        <w:t xml:space="preserve">Rashodi za usluge ostvareni su iznosu od 23.465,03  eura a odnose se na usluge telefona, pošte i prijevoza u iznosu od 1.839,51 eura, usluge tekućeg i investicijskog održavanja u iznosu od 531,25 eura, komunalne usluge 1.621,45 eura, zdravstvene i veterinarske usluge u iznosu od 765,25 eura, intelektualne usluge u iznosu od 17.779,42 eura te ostale usluge u iznosu od 928,15 eura.  Odstupanje u odnosu na izvještajno razdoblje prethodne godine odnosi se na intelektualne usluga zbog troškova ugovora o djelu koji su za mjesec prosinac iskazani na rashodima u odnosu na prethodnu godinu kada je bilo iskazano na računu 193 Rashodi budućih razdoblja, te na rashode za komunalne usluge zbog rasta cijene odvoza komunalnog otpada.  Povećanje bilježimo i kod ostalih usluga zbog povećanih grafičkih i tiskarskih usluga u odnosu na prethodnu godinu koje su bile potrebne zbog organiziranje predstava.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w:t>
            </w:r>
          </w:p>
        </w:tc>
      </w:tr>
    </w:tbl>
    <w:p>
      <w:pPr>
        <w:spacing w:before="0" w:after="0"/>
      </w:pPr>
    </w:p>
    <w:p>
      <w:r>
        <w:t xml:space="preserve">Ostali nespomenuti rashodi poslovanja iznose 2.454,11 eura a odnose se na troškove premija osiguranja u iznosu od 2.199,23 i pristojbu HRT-a u iznosu od 254,88 eura.  Odstupanje se odnosi na premije osiguranja zaposlenika te na knjiženje pristojbe HRT-a koja je prethodne godine bila iskazana na odjeljku 3231.</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r>
        <w:t xml:space="preserve"> </w:t>
      </w:r>
    </w:p>
    <w:p>
      <w:r>
        <w:t xml:space="preserve">Financijski rashodi ostvareni su iznosu od 593,72 odnosno 18% više u odnosu na isto izvještajno razdoblje prethodne godine, a odnose se usluge platnog prometa.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Oprema za održavanje i zaštitu ostvarena je u iznosu od 1.251,50 eura a odnosi se na nabavu i instalaciju kamera. Ovi rashodi nisu ostvareni u prethodnom razdoblju, a ostvaruju se po potrebi ulaganja u prostorije dječjeg vrtića.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205,4</w:t>
            </w:r>
          </w:p>
        </w:tc>
      </w:tr>
    </w:tbl>
    <w:p>
      <w:pPr>
        <w:spacing w:before="0" w:after="0"/>
      </w:pPr>
    </w:p>
    <w:p>
      <w:r>
        <w:t xml:space="preserve">Uređaji, strojevi i oprema za ostale namjene ostvareni su iznosu od 5.311,62 eura a odnose se na nabavu perilice posuđa, nabavu i ugradnju vanjskih vrata te portafona. Ovi rashodi nisu ostvareni u prethodnom razdoblju, a ostvaruju se po potrebi ulaganja u prostorije dječjeg vrtića.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w:t>
            </w:r>
          </w:p>
        </w:tc>
      </w:tr>
    </w:tbl>
    <w:p>
      <w:pPr>
        <w:spacing w:before="0" w:after="0"/>
      </w:pPr>
    </w:p>
    <w:p>
      <w:r>
        <w:t xml:space="preserve">Vrijednost nefinancijske imovine iznosi 11.101,41 eura što je povećanje od 27% u odnosu na prethodnu godinu, razlog povećanja je veća vrijednost nabavljene nove opreme od ispravka vrijednosti.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24.440,26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w:t>
            </w:r>
          </w:p>
        </w:tc>
      </w:tr>
    </w:tbl>
    <w:p>
      <w:pPr>
        <w:spacing w:before="0" w:after="0"/>
      </w:pPr>
    </w:p>
    <w:p>
      <w:r>
        <w:t xml:space="preserve">Financijska imovina iznosi 6.341,09 eura što je 25,9% u odnosu na prethodnu godinu. U najvećem djelu smanjenje se odnosi na  novac na žiro računu te na kontinuirane rashode budućih razdoblja koji su ukinuti u 2025. godini.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w:t>
            </w:r>
          </w:p>
        </w:tc>
      </w:tr>
    </w:tbl>
    <w:p>
      <w:pPr>
        <w:spacing w:before="0" w:after="0"/>
      </w:pPr>
    </w:p>
    <w:p>
      <w:r>
        <w:t xml:space="preserve">Stanje novca u banci i blagajni na dan 01.01. 2025.  iznosi 3.252,06 eura a na dan 31.12.2025. godine sredstva iznose 1.285,37 eura.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549,3</w:t>
            </w:r>
          </w:p>
        </w:tc>
      </w:tr>
    </w:tbl>
    <w:p>
      <w:pPr>
        <w:spacing w:before="0" w:after="0"/>
      </w:pPr>
    </w:p>
    <w:p>
      <w:r>
        <w:t xml:space="preserve">Potraživanja za naknade koje se refundiraju na dan 31.12.2025. iznose 5.055,72 eura. Odnosi se na potraživanja od HZZO-a zbog refundacije bolovanja radnika preko 42 dana. Očekuje se početkom godine da će sredstva biti doznačena.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20.267,82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Kontinuirani rashodi budućih razdoblja na dan 31.12.2025. iznose 0,00 eura zbog knjiženja 13. plaće na rashode.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20.601,66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26.618,02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w:t>
            </w:r>
          </w:p>
        </w:tc>
      </w:tr>
    </w:tbl>
    <w:p>
      <w:pPr>
        <w:spacing w:before="0" w:after="0"/>
      </w:pPr>
    </w:p>
    <w:p>
      <w:r>
        <w:t xml:space="preserve">Obveze na dan 31.12.2025. godine iznose 26.618,02 eura to jest povećanje 29,2%.  Povećanje se odnosi na obveze za zaposlene.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-72,9</w:t>
            </w:r>
          </w:p>
        </w:tc>
      </w:tr>
    </w:tbl>
    <w:p>
      <w:pPr>
        <w:spacing w:before="0" w:after="0"/>
      </w:pPr>
    </w:p>
    <w:p>
      <w:r>
        <w:t xml:space="preserve">Vlastiti izvori na dan 31.12.2025. godine iznose -.9.175,52 eura što je -72,9% u odnosu na prethodnu godinu. Povećanje bilježimo na vlastitim izvorima zbog veće nabave nove opreme od  ispravka vrijednosti opreme. dok smanjenje bilježimo na rezultatu. Zbog knjiženja 13. plaće rashodi plaće za prosinac iskazani su u 2025. godini dok će se prihod knjižiti kada plaća bude isplaćena u siječnju 2026. godine te će se zatvoriti manjak.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Dječji vrtić Leptirići nema obveze po sudskim sporovima, te nema izdane i primljene instrumente osiguranja.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277.479,06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392.494,64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141,5</w:t>
            </w:r>
          </w:p>
        </w:tc>
      </w:tr>
    </w:tbl>
    <w:p>
      <w:pPr>
        <w:spacing w:before="0" w:after="0"/>
      </w:pPr>
    </w:p>
    <w:p>
      <w:r>
        <w:t xml:space="preserve">Dječji vrtić Leptirići ima jedinu funkciju a to je predškolsko obrazovanje. U 2024. godini ostvareno je 277.479,06 eura, dok je u 2025. godini ostvareno u iznosu od 392.494,64 eura. Povećanje se odnosi na  rashoda za zaposlene zbog povećanja osnovice za izračun plaća i koeficijenata te kod intelektualnih usluga zbog usluga za zdravstvenog djelatnika koje nisu bile prethodne godine.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nije bilo promjena u vrijednosti i obujmu imovine.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26.618,02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01.01.2025. godine iznosi 20.601,66 eura a na dan 31.12.2025. godine stanje obveza iznosi 26.618,02 eura. Dospjelih obveza nema. Nedospjele obveze se odnose na plaću za 12 mjesec 2025. godine, naknadnu za prijevoz i obveze za ugovore o djelu.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Dospjelih obveza nema.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f63cb5accd34275" /></Relationships>
</file>